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1D29B205">
      <w:pPr>
        <w:spacing/>
        <w:rPr>
          <w:rFonts w:ascii="Arial" w:hAnsi="Arial" w:cs="Arial"/>
          <w:b/>
          <w:bCs/>
          <w:sz w:val="28"/>
          <w:szCs w:val="28"/>
        </w:rPr>
      </w:pPr>
      <w:r>
        <w:rPr>
          <w:rFonts w:ascii="Calibri" w:hAnsi="Calibri" w:eastAsia="Calibri" w:cs="Calibri"/>
          <w:sz w:val="28"/>
          <w:szCs w:val="28"/>
        </w:rPr>
        <w:t xml:space="preserve"> </w:t>
      </w:r>
      <w:r>
        <w:rPr>
          <w:rFonts w:ascii="Arial" w:hAnsi="Arial" w:cs="Arial"/>
          <w:b/>
          <w:bCs/>
          <w:sz w:val="28"/>
          <w:szCs w:val="28"/>
        </w:rPr>
        <w:t xml:space="preserve">DOKUMENTASJON AV </w:t>
      </w:r>
      <w:r>
        <w:rPr>
          <w:rFonts w:ascii="Arial" w:hAnsi="Arial" w:cs="Arial"/>
          <w:b/>
          <w:bCs/>
          <w:sz w:val="28"/>
          <w:szCs w:val="28"/>
        </w:rPr>
        <w:t xml:space="preserve">TILTREKKELIG OG FORSVARLIG BYGGETID</w:t>
      </w:r>
    </w:p>
    <w:p w14:paraId="6772AC5D">
      <w:pPr>
        <w:spacing/>
        <w:rPr>
          <w:rFonts w:ascii="Calibri" w:hAnsi="Calibri" w:eastAsia="Calibri" w:cs="Calibri"/>
          <w:sz w:val="12"/>
          <w:szCs w:val="12"/>
        </w:rPr>
      </w:pPr>
    </w:p>
    <w:tbl>
      <w:tblPr>
        <w:tblW w:w="144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09"/>
        <w:gridCol w:w="10630"/>
        <w:gridCol w:w="851"/>
        <w:gridCol w:w="1559"/>
      </w:tblGrid>
      <w:tr>
        <w:trPr>
          <w:trHeight w:val="300" w:hRule="atLeast"/>
        </w:trPr>
        <w:tc>
          <w:tcPr>
            <w:tcW w:type="dxa" w:w="1409"/>
            <w:tcBorders>
              <w:top w:val="single" w:color="auto" w:sz="8" w:space="0"/>
              <w:left w:val="single" w:color="auto" w:sz="8" w:space="0"/>
              <w:bottom w:val="single" w:color="auto" w:sz="8" w:space="0"/>
              <w:right w:val="single" w:color="auto" w:sz="8" w:space="0"/>
            </w:tcBorders>
            <w:tcMar>
              <w:left w:w="70" w:type="dxa"/>
              <w:right w:w="70" w:type="dxa"/>
            </w:tcMar>
          </w:tcPr>
          <w:p>
            <w:pPr>
              <w:spacing w:before="120" w:after="120"/>
              <w:rPr/>
            </w:pPr>
            <w:r>
              <w:rPr>
                <w:rFonts w:ascii="Calibri" w:hAnsi="Calibri" w:eastAsia="Calibri" w:cs="Calibri"/>
                <w:sz w:val="12"/>
                <w:szCs w:val="12"/>
              </w:rPr>
              <w:t xml:space="preserve"> </w:t>
            </w:r>
            <w:r>
              <w:rPr>
                <w:rFonts w:ascii="Calibri" w:hAnsi="Calibri" w:eastAsia="Calibri" w:cs="Calibri"/>
                <w:b/>
                <w:bCs/>
              </w:rPr>
              <w:t xml:space="preserve">Prosjekt:</w:t>
            </w:r>
          </w:p>
        </w:tc>
        <w:tc>
          <w:tcPr>
            <w:tcW w:type="dxa" w:w="10630"/>
            <w:tcBorders>
              <w:top w:val="single" w:color="auto" w:sz="8" w:space="0"/>
              <w:left w:val="single" w:color="auto" w:sz="8" w:space="0"/>
              <w:bottom w:val="single" w:color="auto" w:sz="8" w:space="0"/>
              <w:right w:val="single" w:color="auto" w:sz="8" w:space="0"/>
            </w:tcBorders>
            <w:tcMar>
              <w:left w:w="70" w:type="dxa"/>
              <w:right w:w="70" w:type="dxa"/>
            </w:tcMar>
          </w:tcPr>
          <w:p>
            <w:pPr>
              <w:spacing w:before="120" w:after="120"/>
              <w:rPr/>
            </w:pPr>
            <w:r>
              <w:rPr>
                <w:rFonts w:ascii="Calibri" w:hAnsi="Calibri" w:eastAsia="Calibri" w:cs="Calibri"/>
                <w:b/>
                <w:bCs/>
              </w:rPr>
              <w:t xml:space="preserve"> </w:t>
            </w:r>
          </w:p>
        </w:tc>
        <w:tc>
          <w:tcPr>
            <w:tcW w:type="dxa" w:w="851"/>
            <w:tcBorders>
              <w:top w:val="single" w:color="auto" w:sz="8" w:space="0"/>
              <w:left w:val="single" w:color="auto" w:sz="8" w:space="0"/>
              <w:bottom w:val="single" w:color="auto" w:sz="8" w:space="0"/>
              <w:right w:val="single" w:color="auto" w:sz="8" w:space="0"/>
            </w:tcBorders>
            <w:tcMar>
              <w:left w:w="70" w:type="dxa"/>
              <w:right w:w="70" w:type="dxa"/>
            </w:tcMar>
          </w:tcPr>
          <w:p>
            <w:pPr>
              <w:spacing w:before="120" w:after="120"/>
              <w:rPr/>
            </w:pPr>
            <w:r>
              <w:rPr>
                <w:rFonts w:ascii="Calibri" w:hAnsi="Calibri" w:eastAsia="Calibri" w:cs="Calibri"/>
                <w:b/>
                <w:bCs/>
              </w:rPr>
              <w:t xml:space="preserve">Dato:</w:t>
            </w:r>
          </w:p>
        </w:tc>
        <w:tc>
          <w:tcPr>
            <w:tcW w:type="dxa" w:w="1559"/>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b/>
                <w:bCs/>
              </w:rPr>
            </w:pPr>
          </w:p>
        </w:tc>
      </w:tr>
    </w:tbl>
    <w:p w14:paraId="5B8E6835">
      <w:pPr>
        <w:spacing/>
        <w:rPr/>
      </w:pPr>
    </w:p>
    <w:tbl>
      <w:tblPr>
        <w:tblW w:w="144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6A0" w:firstRow="1" w:lastRow="0" w:firstColumn="1" w:lastColumn="0" w:noHBand="1" w:noVBand="1"/>
      </w:tblPr>
      <w:tblGrid>
        <w:gridCol w:w="14449"/>
      </w:tblGrid>
      <w:tr>
        <w:trPr>
          <w:trHeight w:val="375" w:hRule="atLeast"/>
        </w:trPr>
        <w:tc>
          <w:tcPr>
            <w:tcW w:type="dxa" w:w="14449"/>
            <w:tcBorders>
              <w:top w:val="single" w:color="auto" w:sz="8" w:space="0"/>
              <w:left w:val="single" w:color="auto" w:sz="8" w:space="0"/>
              <w:bottom w:val="single" w:color="auto" w:sz="8" w:space="0"/>
              <w:right w:val="single" w:color="auto" w:sz="8" w:space="0"/>
            </w:tcBorders>
            <w:tcMar>
              <w:left w:w="70" w:type="dxa"/>
              <w:right w:w="70" w:type="dxa"/>
            </w:tcMar>
          </w:tcPr>
          <w:p>
            <w:pPr>
              <w:spacing w:before="60" w:after="120"/>
              <w:rPr>
                <w:rFonts w:ascii="Calibri" w:hAnsi="Calibri" w:eastAsia="Calibri" w:cs="Calibri"/>
              </w:rPr>
            </w:pPr>
            <w:r>
              <w:rPr>
                <w:rFonts w:ascii="Calibri" w:hAnsi="Calibri" w:eastAsia="Calibri" w:cs="Calibri"/>
              </w:rPr>
              <w:t xml:space="preserve">Dette skjema benyttes av Oslobygg (BH) </w:t>
            </w:r>
            <w:r>
              <w:rPr>
                <w:rFonts w:ascii="Calibri" w:hAnsi="Calibri" w:eastAsia="Calibri" w:cs="Calibri"/>
              </w:rPr>
              <w:t xml:space="preserve">for å dokumentere </w:t>
            </w:r>
            <w:r>
              <w:rPr>
                <w:rFonts w:ascii="Calibri" w:hAnsi="Calibri" w:eastAsia="Calibri" w:cs="Calibri"/>
              </w:rPr>
              <w:t xml:space="preserve">tilstrekkelig og forsvarlig </w:t>
            </w:r>
            <w:r>
              <w:rPr>
                <w:rFonts w:ascii="Calibri" w:hAnsi="Calibri" w:eastAsia="Calibri" w:cs="Calibri"/>
              </w:rPr>
              <w:t xml:space="preserve">byggetid </w:t>
            </w:r>
            <w:r>
              <w:rPr>
                <w:rFonts w:ascii="Calibri" w:hAnsi="Calibri" w:eastAsia="Calibri" w:cs="Calibri"/>
              </w:rPr>
              <w:t xml:space="preserve">ihht</w:t>
            </w:r>
            <w:r>
              <w:rPr>
                <w:rFonts w:ascii="Calibri" w:hAnsi="Calibri" w:eastAsia="Calibri" w:cs="Calibri"/>
              </w:rPr>
              <w:t xml:space="preserve">. Byggherreforskriften §5</w:t>
            </w:r>
            <w:r>
              <w:rPr>
                <w:rFonts w:ascii="Calibri" w:hAnsi="Calibri" w:eastAsia="Calibri" w:cs="Calibri"/>
              </w:rPr>
              <w:t xml:space="preserve">. </w:t>
            </w:r>
            <w:r>
              <w:rPr>
                <w:rFonts w:ascii="Calibri" w:hAnsi="Calibri" w:eastAsia="Calibri" w:cs="Calibri"/>
              </w:rPr>
              <w:t xml:space="preserve">generelle plikter: </w:t>
            </w:r>
          </w:p>
          <w:p>
            <w:pPr>
              <w:spacing/>
              <w:ind w:left="709"/>
              <w:rPr>
                <w:rFonts w:ascii="Calibri" w:hAnsi="Calibri" w:eastAsia="Calibri" w:cs="Calibri"/>
              </w:rPr>
            </w:pPr>
            <w:r>
              <w:rPr>
                <w:rFonts w:ascii="Calibri" w:hAnsi="Calibri" w:eastAsia="Calibri" w:cs="Calibri"/>
              </w:rPr>
              <w:t xml:space="preserve">e. sørge for at det avsettes tilstrekkelig tid til prosjektering og utførelse av de forskjellige arbeidsoperasjoner </w:t>
            </w:r>
          </w:p>
          <w:p>
            <w:pPr>
              <w:spacing/>
              <w:ind w:left="709"/>
              <w:rPr>
                <w:rFonts w:ascii="Calibri" w:hAnsi="Calibri" w:eastAsia="Calibri" w:cs="Calibri"/>
              </w:rPr>
            </w:pPr>
            <w:r>
              <w:rPr>
                <w:rFonts w:ascii="Calibri" w:hAnsi="Calibri" w:eastAsia="Calibri" w:cs="Calibri"/>
              </w:rPr>
              <w:t xml:space="preserve">f. dokumentere vurderingene som ligger til grunn for den tid som avsettes etter bokstav e. </w:t>
            </w:r>
          </w:p>
          <w:p>
            <w:pPr>
              <w:spacing/>
              <w:ind w:left="709"/>
              <w:rPr>
                <w:rFonts w:ascii="Calibri" w:hAnsi="Calibri" w:eastAsia="Calibri" w:cs="Calibri"/>
              </w:rPr>
            </w:pPr>
          </w:p>
          <w:p>
            <w:pPr>
              <w:spacing/>
              <w:rPr>
                <w:rFonts w:ascii="Calibri" w:hAnsi="Calibri" w:eastAsia="Calibri" w:cs="Calibri"/>
              </w:rPr>
            </w:pPr>
            <w:r>
              <w:rPr>
                <w:rFonts w:ascii="Calibri" w:hAnsi="Calibri" w:eastAsia="Calibri" w:cs="Calibri"/>
              </w:rPr>
              <w:t xml:space="preserve">Det </w:t>
            </w:r>
            <w:r>
              <w:rPr>
                <w:rFonts w:ascii="Calibri" w:hAnsi="Calibri" w:eastAsia="Calibri" w:cs="Calibri"/>
              </w:rPr>
              <w:t xml:space="preserve">er </w:t>
            </w:r>
            <w:r>
              <w:rPr>
                <w:rFonts w:ascii="Calibri" w:hAnsi="Calibri" w:eastAsia="Calibri" w:cs="Calibri"/>
              </w:rPr>
              <w:t xml:space="preserve">ingen</w:t>
            </w:r>
            <w:r>
              <w:rPr>
                <w:rFonts w:ascii="Calibri" w:hAnsi="Calibri" w:eastAsia="Calibri" w:cs="Calibri"/>
              </w:rPr>
              <w:t xml:space="preserve"> plikt å </w:t>
            </w:r>
            <w:r>
              <w:rPr>
                <w:rFonts w:ascii="Calibri" w:hAnsi="Calibri" w:eastAsia="Calibri" w:cs="Calibri"/>
              </w:rPr>
              <w:t xml:space="preserve">ved</w:t>
            </w:r>
            <w:r>
              <w:rPr>
                <w:rFonts w:ascii="Calibri" w:hAnsi="Calibri" w:eastAsia="Calibri" w:cs="Calibri"/>
              </w:rPr>
              <w:t xml:space="preserve">legge </w:t>
            </w:r>
            <w:r>
              <w:rPr>
                <w:rFonts w:ascii="Calibri" w:hAnsi="Calibri" w:eastAsia="Calibri" w:cs="Calibri"/>
              </w:rPr>
              <w:t xml:space="preserve">dette skjemaet </w:t>
            </w:r>
            <w:r>
              <w:rPr>
                <w:rFonts w:ascii="Calibri" w:hAnsi="Calibri" w:eastAsia="Calibri" w:cs="Calibri"/>
              </w:rPr>
              <w:t xml:space="preserve">til </w:t>
            </w:r>
            <w:r>
              <w:rPr>
                <w:rFonts w:ascii="Calibri" w:hAnsi="Calibri" w:eastAsia="Calibri" w:cs="Calibri"/>
              </w:rPr>
              <w:t xml:space="preserve">tilbudsgrunnlaget</w:t>
            </w:r>
            <w:r>
              <w:rPr>
                <w:rFonts w:ascii="Calibri" w:hAnsi="Calibri" w:eastAsia="Calibri" w:cs="Calibri"/>
              </w:rPr>
              <w:t xml:space="preserve">. </w:t>
            </w:r>
            <w:r>
              <w:rPr>
                <w:rFonts w:ascii="Calibri" w:hAnsi="Calibri" w:eastAsia="Calibri" w:cs="Calibri"/>
              </w:rPr>
              <w:t xml:space="preserve">Dokumentasjon</w:t>
            </w:r>
            <w:r>
              <w:rPr>
                <w:rFonts w:ascii="Calibri" w:hAnsi="Calibri" w:eastAsia="Calibri" w:cs="Calibri"/>
              </w:rPr>
              <w:t xml:space="preserve"> skal </w:t>
            </w:r>
            <w:r>
              <w:rPr>
                <w:rFonts w:ascii="Calibri" w:hAnsi="Calibri" w:eastAsia="Calibri" w:cs="Calibri"/>
              </w:rPr>
              <w:t xml:space="preserve">være </w:t>
            </w:r>
            <w:r>
              <w:rPr>
                <w:rFonts w:ascii="Calibri" w:hAnsi="Calibri" w:eastAsia="Calibri" w:cs="Calibri"/>
              </w:rPr>
              <w:t xml:space="preserve">tilgjengelig og på forespørsel</w:t>
            </w:r>
            <w:r>
              <w:rPr>
                <w:rFonts w:ascii="Calibri" w:hAnsi="Calibri" w:eastAsia="Calibri" w:cs="Calibri"/>
              </w:rPr>
              <w:t xml:space="preserve">,</w:t>
            </w:r>
            <w:r>
              <w:rPr>
                <w:rFonts w:ascii="Calibri" w:hAnsi="Calibri" w:eastAsia="Calibri" w:cs="Calibri"/>
              </w:rPr>
              <w:t xml:space="preserve"> kunne fremvise</w:t>
            </w:r>
            <w:r>
              <w:rPr>
                <w:rFonts w:ascii="Calibri" w:hAnsi="Calibri" w:eastAsia="Calibri" w:cs="Calibri"/>
              </w:rPr>
              <w:t xml:space="preserve">s</w:t>
            </w:r>
            <w:r>
              <w:rPr>
                <w:rFonts w:ascii="Calibri" w:hAnsi="Calibri" w:eastAsia="Calibri" w:cs="Calibri"/>
              </w:rPr>
              <w:t xml:space="preserve"> til bl.a. kontraktspart</w:t>
            </w:r>
            <w:r>
              <w:rPr>
                <w:rFonts w:ascii="Calibri" w:hAnsi="Calibri" w:eastAsia="Calibri" w:cs="Calibri"/>
              </w:rPr>
              <w:t xml:space="preserve"> </w:t>
            </w:r>
            <w:r>
              <w:rPr>
                <w:rFonts w:ascii="Calibri" w:hAnsi="Calibri" w:eastAsia="Calibri" w:cs="Calibri"/>
              </w:rPr>
              <w:t xml:space="preserve">og Arbeidstilsynet. </w:t>
            </w:r>
          </w:p>
          <w:p>
            <w:pPr>
              <w:spacing/>
              <w:rPr>
                <w:rFonts w:ascii="Calibri" w:hAnsi="Calibri" w:eastAsia="Calibri" w:cs="Calibri"/>
              </w:rPr>
            </w:pPr>
          </w:p>
          <w:p>
            <w:pPr>
              <w:spacing/>
              <w:rPr>
                <w:rFonts w:ascii="Calibri" w:hAnsi="Calibri" w:eastAsia="Calibri" w:cs="Calibri"/>
              </w:rPr>
            </w:pPr>
            <w:r>
              <w:rPr>
                <w:rFonts w:ascii="Calibri" w:hAnsi="Calibri" w:eastAsia="Calibri" w:cs="Calibri"/>
              </w:rPr>
              <w:t xml:space="preserve">SFSBA sin veileder </w:t>
            </w:r>
            <w:r>
              <w:rPr>
                <w:rFonts w:ascii="Calibri" w:hAnsi="Calibri" w:eastAsia="Calibri" w:cs="Calibri"/>
              </w:rPr>
              <w:t xml:space="preserve">(2025) </w:t>
            </w:r>
            <w:r>
              <w:rPr>
                <w:rFonts w:ascii="Calibri" w:hAnsi="Calibri" w:eastAsia="Calibri" w:cs="Calibri"/>
              </w:rPr>
              <w:t xml:space="preserve">er lagt til grunn</w:t>
            </w:r>
            <w:r>
              <w:rPr>
                <w:rFonts w:ascii="Calibri" w:hAnsi="Calibri" w:eastAsia="Calibri" w:cs="Calibri"/>
              </w:rPr>
              <w:t xml:space="preserve">.</w:t>
            </w:r>
            <w:r>
              <w:rPr>
                <w:rFonts w:ascii="Calibri" w:hAnsi="Calibri" w:eastAsia="Calibri" w:cs="Calibri"/>
              </w:rPr>
              <w:t xml:space="preserve">  </w:t>
            </w:r>
            <w:r>
              <w:rPr>
                <w:rFonts w:ascii="Calibri" w:hAnsi="Calibri" w:eastAsia="Calibri" w:cs="Calibri"/>
              </w:rPr>
              <w:t xml:space="preserve">(</w:t>
            </w:r>
            <w:r>
              <w:rPr/>
              <w:fldChar w:fldCharType="begin"/>
            </w:r>
            <w:r>
              <w:rPr/>
              <w:instrText xml:space="preserve">HYPERLINK "https://sfsba.no/wp-content/uploads/2023/01/Veileder-for-beregning-av-tilstrekkelig-og-forsvarlig-byggetid.pdf" </w:instrText>
            </w:r>
            <w:r>
              <w:rPr/>
              <w:fldChar w:fldCharType="separate"/>
            </w:r>
            <w:r>
              <w:rPr>
                <w:rStyle w:val="Hyperkobling"/>
                <w:rFonts w:ascii="Calibri" w:hAnsi="Calibri" w:eastAsia="Calibri" w:cs="Calibri"/>
              </w:rPr>
              <w:t xml:space="preserve">https://sfsba.no/wp-content/uploads/2023/01/Veileder-for-beregning-av-tilstrekkelig-og-forsvarlig-byggetid.pdf</w:t>
            </w:r>
            <w:r>
              <w:rPr/>
              <w:fldChar w:fldCharType="end"/>
            </w:r>
            <w:r>
              <w:rPr>
                <w:rFonts w:ascii="Calibri" w:hAnsi="Calibri" w:eastAsia="Calibri" w:cs="Calibri"/>
              </w:rPr>
              <w:t xml:space="preserve">)</w:t>
            </w:r>
          </w:p>
        </w:tc>
      </w:tr>
    </w:tbl>
    <w:p w14:paraId="59C8B4EC">
      <w:pPr>
        <w:spacing/>
        <w:rPr>
          <w:rFonts w:ascii="Arial" w:hAnsi="Arial" w:cs="Arial"/>
        </w:rPr>
      </w:pPr>
    </w:p>
    <w:tbl>
      <w:tblPr>
        <w:tblW w:w="144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00"/>
        <w:gridCol w:w="5103"/>
        <w:gridCol w:w="6946"/>
      </w:tblGrid>
      <w:tr>
        <w:trPr>
          <w:trHeight w:val="300" w:hRule="atLeast"/>
        </w:trPr>
        <w:tc>
          <w:tcPr>
            <w:tcW w:type="dxa" w:w="2400"/>
            <w:tcBorders>
              <w:top w:val="single" w:color="auto" w:sz="8" w:space="0"/>
              <w:left w:val="single" w:color="auto" w:sz="8" w:space="0"/>
              <w:bottom w:val="single" w:color="auto" w:sz="12" w:space="0"/>
              <w:right w:val="single" w:color="auto" w:sz="8" w:space="0"/>
            </w:tcBorders>
            <w:tcMar>
              <w:left w:w="70" w:type="dxa"/>
              <w:right w:w="70" w:type="dxa"/>
            </w:tcMar>
          </w:tcPr>
          <w:p>
            <w:pPr>
              <w:spacing/>
              <w:rPr>
                <w:rFonts w:ascii="Calibri" w:hAnsi="Calibri" w:eastAsia="Calibri" w:cs="Calibri"/>
              </w:rPr>
            </w:pPr>
            <w:r>
              <w:rPr>
                <w:rFonts w:ascii="Calibri" w:hAnsi="Calibri" w:eastAsia="Calibri" w:cs="Calibri"/>
              </w:rPr>
              <w:t xml:space="preserve">Funksjon(er):</w:t>
            </w:r>
          </w:p>
        </w:tc>
        <w:tc>
          <w:tcPr>
            <w:tcW w:type="dxa" w:w="5103"/>
            <w:tcBorders>
              <w:top w:val="single" w:color="auto" w:sz="8" w:space="0"/>
              <w:left w:val="single" w:color="auto" w:sz="8" w:space="0"/>
              <w:bottom w:val="single" w:color="auto" w:sz="12" w:space="0"/>
              <w:right w:val="single" w:color="auto" w:sz="8" w:space="0"/>
            </w:tcBorders>
            <w:tcMar>
              <w:left w:w="70" w:type="dxa"/>
              <w:right w:w="70" w:type="dxa"/>
            </w:tcMar>
          </w:tcPr>
          <w:p>
            <w:pPr>
              <w:spacing/>
              <w:rPr/>
            </w:pPr>
            <w:r>
              <w:rPr>
                <w:rFonts w:ascii="Calibri" w:hAnsi="Calibri" w:eastAsia="Calibri" w:cs="Calibri"/>
              </w:rPr>
              <w:t xml:space="preserve">Firma:</w:t>
            </w:r>
          </w:p>
        </w:tc>
        <w:tc>
          <w:tcPr>
            <w:tcW w:type="dxa" w:w="6946"/>
            <w:tcBorders>
              <w:top w:val="single" w:color="auto" w:sz="8" w:space="0"/>
              <w:left w:val="single" w:color="auto" w:sz="8" w:space="0"/>
              <w:bottom w:val="single" w:color="auto" w:sz="12" w:space="0"/>
              <w:right w:val="single" w:color="auto" w:sz="8" w:space="0"/>
            </w:tcBorders>
            <w:tcMar>
              <w:left w:w="70" w:type="dxa"/>
              <w:right w:w="70" w:type="dxa"/>
            </w:tcMar>
          </w:tcPr>
          <w:p>
            <w:pPr>
              <w:spacing/>
              <w:rPr>
                <w:rFonts w:ascii="Calibri" w:hAnsi="Calibri" w:eastAsia="Calibri" w:cs="Calibri"/>
              </w:rPr>
            </w:pPr>
            <w:r>
              <w:rPr>
                <w:rFonts w:ascii="Calibri" w:hAnsi="Calibri" w:eastAsia="Calibri" w:cs="Calibri"/>
              </w:rPr>
              <w:t xml:space="preserve">Deltakere - Navn:</w:t>
            </w:r>
          </w:p>
        </w:tc>
      </w:tr>
      <w:tr>
        <w:trPr>
          <w:trHeight w:val="300" w:hRule="atLeast"/>
        </w:trPr>
        <w:tc>
          <w:tcPr>
            <w:tcW w:type="dxa" w:w="2400"/>
            <w:tcBorders>
              <w:top w:val="single" w:color="auto" w:sz="12"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BH (PL/BHR)</w:t>
            </w:r>
          </w:p>
        </w:tc>
        <w:tc>
          <w:tcPr>
            <w:tcW w:type="dxa" w:w="5103"/>
            <w:tcBorders>
              <w:top w:val="single" w:color="auto" w:sz="12"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 </w:t>
            </w:r>
          </w:p>
        </w:tc>
        <w:tc>
          <w:tcPr>
            <w:tcW w:type="dxa" w:w="6946"/>
            <w:tcBorders>
              <w:top w:val="single" w:color="auto" w:sz="12" w:space="0"/>
              <w:left w:val="single" w:color="auto" w:sz="8" w:space="0"/>
              <w:bottom w:val="single" w:color="auto" w:sz="8" w:space="0"/>
              <w:right w:val="single" w:color="auto" w:sz="8" w:space="0"/>
            </w:tcBorders>
            <w:tcMar>
              <w:left w:w="70" w:type="dxa"/>
              <w:right w:w="70" w:type="dxa"/>
            </w:tcMar>
          </w:tcPr>
          <w:p>
            <w:pPr>
              <w:spacing/>
              <w:rPr/>
            </w:pPr>
          </w:p>
        </w:tc>
      </w:tr>
      <w:tr>
        <w:trPr>
          <w:trHeight w:val="300" w:hRule="atLeast"/>
        </w:trPr>
        <w:tc>
          <w:tcPr>
            <w:tcW w:type="dxa" w:w="2400"/>
            <w:tcBorders>
              <w:top w:val="single" w:color="auto" w:sz="8"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PGL </w:t>
            </w:r>
          </w:p>
        </w:tc>
        <w:tc>
          <w:tcPr>
            <w:tcW w:type="dxa" w:w="5103"/>
            <w:tcBorders>
              <w:top w:val="single" w:color="auto" w:sz="8"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 </w:t>
            </w:r>
          </w:p>
        </w:tc>
        <w:tc>
          <w:tcPr>
            <w:tcW w:type="dxa" w:w="6946"/>
            <w:tcBorders>
              <w:top w:val="single" w:color="auto" w:sz="8" w:space="0"/>
              <w:left w:val="single" w:color="auto" w:sz="8" w:space="0"/>
              <w:bottom w:val="single" w:color="auto" w:sz="8" w:space="0"/>
              <w:right w:val="single" w:color="auto" w:sz="8" w:space="0"/>
            </w:tcBorders>
            <w:tcMar>
              <w:left w:w="70" w:type="dxa"/>
              <w:right w:w="70" w:type="dxa"/>
            </w:tcMar>
          </w:tcPr>
          <w:p>
            <w:pPr>
              <w:spacing/>
              <w:rPr/>
            </w:pPr>
          </w:p>
        </w:tc>
      </w:tr>
      <w:tr>
        <w:trPr>
          <w:trHeight w:val="300" w:hRule="atLeast"/>
        </w:trPr>
        <w:tc>
          <w:tcPr>
            <w:tcW w:type="dxa" w:w="2400"/>
            <w:tcBorders>
              <w:top w:val="single" w:color="auto" w:sz="8"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KP</w:t>
            </w:r>
          </w:p>
        </w:tc>
        <w:tc>
          <w:tcPr>
            <w:tcW w:type="dxa" w:w="5103"/>
            <w:tcBorders>
              <w:top w:val="single" w:color="auto" w:sz="8" w:space="0"/>
              <w:left w:val="single" w:color="auto" w:sz="8" w:space="0"/>
              <w:bottom w:val="single" w:color="auto" w:sz="8" w:space="0"/>
              <w:right w:val="single" w:color="auto" w:sz="8" w:space="0"/>
            </w:tcBorders>
            <w:tcMar>
              <w:left w:w="70" w:type="dxa"/>
              <w:right w:w="70" w:type="dxa"/>
            </w:tcMar>
          </w:tcPr>
          <w:p>
            <w:pPr>
              <w:spacing/>
              <w:rPr/>
            </w:pPr>
            <w:r>
              <w:rPr>
                <w:rFonts w:ascii="Calibri" w:hAnsi="Calibri" w:eastAsia="Calibri" w:cs="Calibri"/>
              </w:rPr>
              <w:t xml:space="preserve"> </w:t>
            </w:r>
          </w:p>
        </w:tc>
        <w:tc>
          <w:tcPr>
            <w:tcW w:type="dxa" w:w="6946"/>
            <w:tcBorders>
              <w:top w:val="single" w:color="auto" w:sz="8" w:space="0"/>
              <w:left w:val="single" w:color="auto" w:sz="8" w:space="0"/>
              <w:bottom w:val="single" w:color="auto" w:sz="8" w:space="0"/>
              <w:right w:val="single" w:color="auto" w:sz="8" w:space="0"/>
            </w:tcBorders>
            <w:tcMar>
              <w:left w:w="70" w:type="dxa"/>
              <w:right w:w="70" w:type="dxa"/>
            </w:tcMar>
          </w:tcPr>
          <w:p>
            <w:pPr>
              <w:spacing/>
              <w:rPr/>
            </w:pPr>
          </w:p>
        </w:tc>
      </w:tr>
      <w:tr>
        <w:trPr>
          <w:trHeight w:val="300" w:hRule="atLeast"/>
        </w:trPr>
        <w:tc>
          <w:tcPr>
            <w:tcW w:type="dxa" w:w="2400"/>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c>
          <w:tcPr>
            <w:tcW w:type="dxa" w:w="5103"/>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c>
          <w:tcPr>
            <w:tcW w:type="dxa" w:w="6946"/>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r>
      <w:tr>
        <w:trPr>
          <w:trHeight w:val="300" w:hRule="atLeast"/>
        </w:trPr>
        <w:tc>
          <w:tcPr>
            <w:tcW w:type="dxa" w:w="2400"/>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c>
          <w:tcPr>
            <w:tcW w:type="dxa" w:w="5103"/>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c>
          <w:tcPr>
            <w:tcW w:type="dxa" w:w="6946"/>
            <w:tcBorders>
              <w:top w:val="single" w:color="auto" w:sz="8" w:space="0"/>
              <w:left w:val="single" w:color="auto" w:sz="8" w:space="0"/>
              <w:bottom w:val="single" w:color="auto" w:sz="8" w:space="0"/>
              <w:right w:val="single" w:color="auto" w:sz="8" w:space="0"/>
            </w:tcBorders>
            <w:tcMar>
              <w:left w:w="70" w:type="dxa"/>
              <w:right w:w="70" w:type="dxa"/>
            </w:tcMar>
          </w:tcPr>
          <w:p>
            <w:pPr>
              <w:spacing/>
              <w:rPr>
                <w:rFonts w:ascii="Calibri" w:hAnsi="Calibri" w:eastAsia="Calibri" w:cs="Calibri"/>
              </w:rPr>
            </w:pPr>
          </w:p>
        </w:tc>
      </w:tr>
    </w:tbl>
    <w:p w14:paraId="6231E73E">
      <w:pPr>
        <w:spacing/>
        <w:rPr>
          <w:rFonts w:ascii="Arial" w:hAnsi="Arial" w:cs="Arial"/>
        </w:rPr>
      </w:pP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w:t>
            </w:r>
            <w:r>
              <w:rPr>
                <w:rFonts w:ascii="Arial" w:hAnsi="Arial" w:cs="Arial"/>
                <w:b/>
                <w:bCs/>
                <w:color w:val="000000"/>
                <w:sz w:val="20"/>
                <w:szCs w:val="20"/>
              </w:rPr>
              <w:t xml:space="preserve">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r>
              <w:rPr>
                <w:rFonts w:ascii="Arial" w:hAnsi="Arial" w:cs="Arial"/>
                <w:b/>
                <w:bCs/>
                <w:color w:val="000000"/>
                <w:sz w:val="20"/>
                <w:szCs w:val="20"/>
              </w:rPr>
              <w:t xml:space="preserve">:</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w:t>
            </w:r>
            <w:r>
              <w:rPr>
                <w:rFonts w:ascii="Arial" w:hAnsi="Arial" w:cs="Arial"/>
                <w:b/>
                <w:bCs/>
                <w:color w:val="000000"/>
                <w:sz w:val="20"/>
                <w:szCs w:val="20"/>
              </w:rPr>
              <w:t xml:space="preserve"> / </w:t>
            </w:r>
            <w:r>
              <w:rPr>
                <w:rFonts w:ascii="Arial" w:hAnsi="Arial" w:cs="Arial"/>
                <w:b/>
                <w:bCs/>
                <w:color w:val="000000"/>
                <w:sz w:val="20"/>
                <w:szCs w:val="20"/>
              </w:rPr>
              <w:t xml:space="preserve">Merknader</w:t>
            </w:r>
            <w:r>
              <w:rPr>
                <w:rFonts w:ascii="Arial" w:hAnsi="Arial" w:cs="Arial"/>
                <w:b/>
                <w:bCs/>
                <w:color w:val="000000"/>
                <w:sz w:val="20"/>
                <w:szCs w:val="20"/>
              </w:rPr>
              <w:t xml:space="preserve">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1</w:t>
            </w:r>
          </w:p>
        </w:tc>
        <w:tc>
          <w:tcPr>
            <w:tcW w:type="dxa" w:w="1987"/>
            <w:tcBorders/>
            <w:hideMark/>
          </w:tcPr>
          <w:p>
            <w:pPr>
              <w:spacing/>
              <w:ind w:left="130"/>
              <w:rPr>
                <w:rFonts w:ascii="Arial" w:hAnsi="Arial" w:cs="Arial"/>
                <w:sz w:val="20"/>
                <w:szCs w:val="20"/>
              </w:rPr>
            </w:pPr>
            <w:r>
              <w:rPr>
                <w:rFonts w:ascii="Arial" w:hAnsi="Arial" w:cs="Arial"/>
                <w:sz w:val="20"/>
                <w:szCs w:val="20"/>
              </w:rPr>
              <w:t xml:space="preserve">Byggherrens organisering av sitt team som skal beregne byggetid.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Konkret erfaring/kunnskap er svært viktig for å kunne vurdere fremdrift og </w:t>
            </w:r>
            <w:r>
              <w:rPr>
                <w:rFonts w:ascii="Arial" w:hAnsi="Arial" w:cs="Arial"/>
                <w:sz w:val="20"/>
                <w:szCs w:val="20"/>
              </w:rPr>
              <w:t xml:space="preserve">potensielle</w:t>
            </w:r>
            <w:r>
              <w:rPr>
                <w:rFonts w:ascii="Arial" w:hAnsi="Arial" w:cs="Arial"/>
                <w:sz w:val="20"/>
                <w:szCs w:val="20"/>
              </w:rPr>
              <w:t xml:space="preserve"> hindringer.</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w:t>
            </w:r>
            <w:r>
              <w:rPr>
                <w:rFonts w:ascii="Arial" w:hAnsi="Arial" w:cs="Arial"/>
                <w:b/>
                <w:bCs/>
                <w:i/>
                <w:iCs/>
                <w:sz w:val="18"/>
                <w:szCs w:val="18"/>
              </w:rPr>
              <w:t xml:space="preserve">Evnt</w:t>
            </w:r>
            <w:r>
              <w:rPr>
                <w:rFonts w:ascii="Arial" w:hAnsi="Arial" w:cs="Arial"/>
                <w:b/>
                <w:bCs/>
                <w:i/>
                <w:iCs/>
                <w:sz w:val="18"/>
                <w:szCs w:val="18"/>
              </w:rPr>
              <w:t xml:space="preserve"> n</w:t>
            </w:r>
            <w:r>
              <w:rPr>
                <w:rFonts w:ascii="Arial" w:hAnsi="Arial" w:cs="Arial"/>
                <w:b/>
                <w:bCs/>
                <w:i/>
                <w:iCs/>
                <w:sz w:val="18"/>
                <w:szCs w:val="18"/>
              </w:rPr>
              <w:t xml:space="preserve">otat lages som beskriver hvilke deltagere som har deltatt i prosessen og deres erfaringsgrunnlag.</w:t>
            </w:r>
            <w:r>
              <w:rPr>
                <w:rFonts w:ascii="Arial" w:hAnsi="Arial" w:cs="Arial"/>
                <w:b/>
                <w:bCs/>
                <w:i/>
                <w:iCs/>
                <w:sz w:val="18"/>
                <w:szCs w:val="18"/>
              </w:rPr>
              <w:t xml:space="preserve">)</w:t>
            </w:r>
          </w:p>
          <w:p>
            <w:pPr>
              <w:spacing/>
              <w:ind w:left="228"/>
              <w:rPr>
                <w:rFonts w:ascii="Arial" w:hAnsi="Arial" w:cs="Arial"/>
                <w:sz w:val="20"/>
                <w:szCs w:val="20"/>
              </w:rPr>
            </w:pPr>
          </w:p>
        </w:tc>
        <w:tc>
          <w:tcPr>
            <w:tcW w:type="dxa" w:w="6943"/>
            <w:tcBorders/>
          </w:tcPr>
          <w:p>
            <w:pPr>
              <w:spacing/>
              <w:ind w:left="228"/>
              <w:rPr>
                <w:rFonts w:ascii="Arial" w:hAnsi="Arial" w:cs="Arial"/>
                <w:sz w:val="20"/>
                <w:szCs w:val="20"/>
              </w:rPr>
            </w:pPr>
          </w:p>
        </w:tc>
      </w:tr>
    </w:tbl>
    <w:p w14:paraId="24613DD1">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r>
              <w:rPr/>
              <w:br w:type="page"/>
            </w: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r>
              <w:rPr>
                <w:rFonts w:ascii="Arial" w:hAnsi="Arial" w:cs="Arial"/>
                <w:b/>
                <w:bCs/>
                <w:color w:val="000000"/>
                <w:sz w:val="20"/>
                <w:szCs w:val="20"/>
              </w:rPr>
              <w:t xml:space="preserve">:</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2</w:t>
            </w:r>
          </w:p>
        </w:tc>
        <w:tc>
          <w:tcPr>
            <w:tcW w:type="dxa" w:w="1987"/>
            <w:tcBorders/>
            <w:hideMark/>
          </w:tcPr>
          <w:p>
            <w:pPr>
              <w:spacing/>
              <w:ind w:left="130"/>
              <w:rPr>
                <w:rFonts w:ascii="Arial" w:hAnsi="Arial" w:cs="Arial"/>
                <w:sz w:val="20"/>
                <w:szCs w:val="20"/>
              </w:rPr>
            </w:pPr>
            <w:r>
              <w:rPr>
                <w:rFonts w:ascii="Arial" w:hAnsi="Arial" w:cs="Arial"/>
                <w:sz w:val="20"/>
                <w:szCs w:val="20"/>
              </w:rPr>
              <w:t xml:space="preserve">Ferdigstillelsesdato</w:t>
            </w:r>
          </w:p>
        </w:tc>
        <w:tc>
          <w:tcPr>
            <w:tcW w:type="dxa" w:w="5103"/>
            <w:tcBorders/>
            <w:hideMark/>
          </w:tcPr>
          <w:p>
            <w:pPr>
              <w:spacing/>
              <w:ind w:left="228"/>
              <w:rPr>
                <w:rFonts w:ascii="Arial" w:hAnsi="Arial" w:cs="Arial"/>
                <w:sz w:val="20"/>
                <w:szCs w:val="20"/>
              </w:rPr>
            </w:pPr>
            <w:r>
              <w:rPr>
                <w:rFonts w:ascii="Arial" w:hAnsi="Arial" w:cs="Arial"/>
                <w:sz w:val="20"/>
                <w:szCs w:val="20"/>
              </w:rPr>
              <w:t xml:space="preserve">Fremdriftsplanen og forutsetningene relatert til ferdigstillelses-dato vurderes ved første utarbeidelse og ved videre detaljering. Kritisk linje vurderes.</w:t>
            </w:r>
          </w:p>
          <w:p>
            <w:pPr>
              <w:spacing/>
              <w:ind w:left="228"/>
              <w:rPr>
                <w:rFonts w:ascii="Arial" w:hAnsi="Arial" w:cs="Arial"/>
                <w:sz w:val="20"/>
                <w:szCs w:val="20"/>
              </w:rPr>
            </w:pPr>
            <w:r>
              <w:rPr>
                <w:rFonts w:ascii="Arial" w:hAnsi="Arial" w:cs="Arial"/>
                <w:sz w:val="20"/>
                <w:szCs w:val="20"/>
              </w:rPr>
              <w:t xml:space="preserve">Hvis detaljplanleggingen viser at gjennomføring </w:t>
            </w:r>
            <w:r>
              <w:rPr>
                <w:rFonts w:ascii="Arial" w:hAnsi="Arial" w:cs="Arial"/>
                <w:sz w:val="20"/>
                <w:szCs w:val="20"/>
              </w:rPr>
              <w:t xml:space="preserve">iht</w:t>
            </w:r>
            <w:r>
              <w:rPr>
                <w:rFonts w:ascii="Arial" w:hAnsi="Arial" w:cs="Arial"/>
                <w:sz w:val="20"/>
                <w:szCs w:val="20"/>
              </w:rPr>
              <w:t xml:space="preserve"> ferdigstillelse er vanskelig/</w:t>
            </w:r>
            <w:r>
              <w:rPr>
                <w:rFonts w:ascii="Arial" w:hAnsi="Arial" w:cs="Arial"/>
                <w:sz w:val="20"/>
                <w:szCs w:val="20"/>
              </w:rPr>
              <w:t xml:space="preserve"> </w:t>
            </w:r>
            <w:r>
              <w:rPr>
                <w:rFonts w:ascii="Arial" w:hAnsi="Arial" w:cs="Arial"/>
                <w:sz w:val="20"/>
                <w:szCs w:val="20"/>
              </w:rPr>
              <w:t xml:space="preserve">umulig å få til, må alle alternativer gjennomgås og konsekvenser utredes.</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w:t>
            </w:r>
            <w:r>
              <w:rPr>
                <w:rFonts w:ascii="Arial" w:hAnsi="Arial" w:cs="Arial"/>
                <w:b/>
                <w:bCs/>
                <w:i/>
                <w:iCs/>
                <w:sz w:val="18"/>
                <w:szCs w:val="18"/>
              </w:rPr>
              <w:t xml:space="preserve">Planleggingsarbeidet som er utført samt de forutsetninger som er tatt</w:t>
            </w:r>
            <w:r>
              <w:rPr>
                <w:rFonts w:ascii="Arial" w:hAnsi="Arial" w:cs="Arial"/>
                <w:b/>
                <w:bCs/>
                <w:i/>
                <w:iCs/>
                <w:sz w:val="18"/>
                <w:szCs w:val="18"/>
              </w:rPr>
              <w:t xml:space="preserve">,</w:t>
            </w:r>
            <w:r>
              <w:rPr>
                <w:rFonts w:ascii="Arial" w:hAnsi="Arial" w:cs="Arial"/>
                <w:b/>
                <w:bCs/>
                <w:i/>
                <w:iCs/>
                <w:sz w:val="18"/>
                <w:szCs w:val="18"/>
              </w:rPr>
              <w:t xml:space="preserve"> beskrives.</w:t>
            </w:r>
            <w:r>
              <w:rPr>
                <w:rFonts w:ascii="Arial" w:hAnsi="Arial" w:cs="Arial"/>
                <w:b/>
                <w:bCs/>
                <w:i/>
                <w:iCs/>
                <w:sz w:val="18"/>
                <w:szCs w:val="18"/>
              </w:rPr>
              <w:t xml:space="preserve">)</w:t>
            </w:r>
          </w:p>
          <w:p>
            <w:pPr>
              <w:spacing/>
              <w:ind w:left="228"/>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3</w:t>
            </w:r>
          </w:p>
        </w:tc>
        <w:tc>
          <w:tcPr>
            <w:tcW w:type="dxa" w:w="1987"/>
            <w:tcBorders/>
            <w:hideMark/>
          </w:tcPr>
          <w:p>
            <w:pPr>
              <w:spacing/>
              <w:ind w:left="130"/>
              <w:rPr>
                <w:rFonts w:ascii="Arial" w:hAnsi="Arial" w:cs="Arial"/>
                <w:sz w:val="20"/>
                <w:szCs w:val="20"/>
              </w:rPr>
            </w:pPr>
            <w:r>
              <w:rPr>
                <w:rFonts w:ascii="Arial" w:hAnsi="Arial" w:cs="Arial"/>
                <w:sz w:val="20"/>
                <w:szCs w:val="20"/>
              </w:rPr>
              <w:t xml:space="preserve">Milepæler</w:t>
            </w:r>
          </w:p>
        </w:tc>
        <w:tc>
          <w:tcPr>
            <w:tcW w:type="dxa" w:w="5103"/>
            <w:tcBorders/>
            <w:hideMark/>
          </w:tcPr>
          <w:p>
            <w:pPr>
              <w:spacing/>
              <w:ind w:left="228"/>
              <w:rPr>
                <w:rFonts w:ascii="Arial" w:hAnsi="Arial" w:cs="Arial"/>
                <w:sz w:val="20"/>
                <w:szCs w:val="20"/>
              </w:rPr>
            </w:pPr>
            <w:r>
              <w:rPr>
                <w:rFonts w:ascii="Arial" w:hAnsi="Arial" w:cs="Arial"/>
                <w:sz w:val="20"/>
                <w:szCs w:val="20"/>
              </w:rPr>
              <w:t xml:space="preserve">Alle arbeider som må være ferdige til milepeler vurderes ved første utarbeidelse av fremdriftsplanen og ved videre detaljering. Om det er mulig å nå milepelene vurderes. Det må også vurderes om milepelene er satt riktig, kan den forskyves/endres. Kan noen arbeider som er på kritisk linje frem til milepelene utføres senere?</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w:t>
            </w:r>
            <w:r>
              <w:rPr>
                <w:rFonts w:ascii="Arial" w:hAnsi="Arial" w:cs="Arial"/>
                <w:b/>
                <w:bCs/>
                <w:i/>
                <w:iCs/>
                <w:sz w:val="18"/>
                <w:szCs w:val="18"/>
              </w:rPr>
              <w:t xml:space="preserve">Planleggingsarbeidet som er utført samt de forutsetninger som er tatt</w:t>
            </w:r>
            <w:r>
              <w:rPr>
                <w:rFonts w:ascii="Arial" w:hAnsi="Arial" w:cs="Arial"/>
                <w:b/>
                <w:bCs/>
                <w:i/>
                <w:iCs/>
                <w:sz w:val="18"/>
                <w:szCs w:val="18"/>
              </w:rPr>
              <w:t xml:space="preserve">,</w:t>
            </w:r>
            <w:r>
              <w:rPr>
                <w:rFonts w:ascii="Arial" w:hAnsi="Arial" w:cs="Arial"/>
                <w:b/>
                <w:bCs/>
                <w:i/>
                <w:iCs/>
                <w:sz w:val="18"/>
                <w:szCs w:val="18"/>
              </w:rPr>
              <w:t xml:space="preserve"> beskrives.</w:t>
            </w:r>
            <w:r>
              <w:rPr>
                <w:rFonts w:ascii="Arial" w:hAnsi="Arial" w:cs="Arial"/>
                <w:b/>
                <w:bCs/>
                <w:i/>
                <w:iCs/>
                <w:sz w:val="18"/>
                <w:szCs w:val="18"/>
              </w:rPr>
              <w:t xml:space="preserve">)</w:t>
            </w:r>
          </w:p>
          <w:p>
            <w:pPr>
              <w:spacing/>
              <w:ind w:left="228"/>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4</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alle hovedarbeider klarlagt.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Fremdriftsplanen må omfatte alle arbeider som har en konsekvens for overordnet fremdrift.</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(Hvordan arbeidene er identifisert, og av hvem, beskrives.)</w:t>
            </w:r>
          </w:p>
          <w:p>
            <w:pPr>
              <w:spacing/>
              <w:ind w:left="228"/>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i/>
                <w:sz w:val="20"/>
                <w:szCs w:val="20"/>
              </w:rPr>
            </w:pPr>
            <w:r>
              <w:rPr>
                <w:rFonts w:ascii="Arial" w:hAnsi="Arial" w:cs="Arial"/>
                <w:i/>
                <w:sz w:val="20"/>
                <w:szCs w:val="20"/>
              </w:rPr>
              <w:t xml:space="preserve">5</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vurdert hvilke konsekvenser ulike entreprisemodeller kan ha for beregning av byggetid.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Planen for utarbeidelse av fremdriftsplan må ivareta forhold knyttet til entreprisemodell som velges. Prosessen for å komme frem til en omforent framdriftsplan er ulik i de ulike entreprisemodeller.</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(Planleggingsarbeidet som er utført samt de forutsetninger som er tatt beskrives.)</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bl>
    <w:p w14:paraId="160794AF">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r>
              <w:rPr>
                <w:rFonts w:ascii="Arial" w:hAnsi="Arial" w:cs="Arial"/>
                <w:b/>
                <w:bCs/>
                <w:color w:val="000000"/>
                <w:sz w:val="20"/>
                <w:szCs w:val="20"/>
              </w:rPr>
              <w:t xml:space="preserve">:</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6</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lagt inn tilstrekkelig prosjekteringstid.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Prosjekterende firma eller personer med erfaring fra prosjektering av tilsvarende prosjekt konsulteres for å vurdere prosjekteringstid. Det er her viktig å ta høyde for endringer i prosjekteringsperioden(e).</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(Prosjekteringsperioder legges inn i fremdriftsplanen.)</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7</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lagt inn nok planleggingstid/ mobiliseringstid for entreprenørene/ leverandørene.</w:t>
            </w:r>
          </w:p>
        </w:tc>
        <w:tc>
          <w:tcPr>
            <w:tcW w:type="dxa" w:w="5103"/>
            <w:tcBorders/>
            <w:hideMark/>
          </w:tcPr>
          <w:p>
            <w:pPr>
              <w:spacing/>
              <w:ind w:left="228"/>
              <w:rPr>
                <w:rFonts w:ascii="Arial" w:hAnsi="Arial" w:cs="Arial"/>
                <w:sz w:val="20"/>
                <w:szCs w:val="20"/>
              </w:rPr>
            </w:pPr>
            <w:r>
              <w:rPr>
                <w:rFonts w:ascii="Arial" w:hAnsi="Arial" w:cs="Arial"/>
                <w:sz w:val="20"/>
                <w:szCs w:val="20"/>
              </w:rPr>
              <w:t xml:space="preserve">Nødvendig tid er prosjektavhengig. Særlig </w:t>
            </w:r>
            <w:r>
              <w:rPr>
                <w:rFonts w:ascii="Arial" w:hAnsi="Arial" w:cs="Arial"/>
                <w:sz w:val="20"/>
                <w:szCs w:val="20"/>
              </w:rPr>
              <w:t xml:space="preserve">fokus</w:t>
            </w:r>
            <w:r>
              <w:rPr>
                <w:rFonts w:ascii="Arial" w:hAnsi="Arial" w:cs="Arial"/>
                <w:sz w:val="20"/>
                <w:szCs w:val="20"/>
              </w:rPr>
              <w:t xml:space="preserve"> på bestillingstider og innhenting av spesialkompetanse.</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(Planleggingstid/ mobiliseringstid legges inn i fremdriftsplanen.)</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8</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lagt inn nok tid til testperiode</w:t>
            </w:r>
            <w:r>
              <w:rPr>
                <w:rFonts w:ascii="Arial" w:hAnsi="Arial" w:cs="Arial"/>
                <w:sz w:val="20"/>
                <w:szCs w:val="20"/>
              </w:rPr>
              <w:br/>
            </w:r>
            <w:r>
              <w:rPr>
                <w:rFonts w:ascii="Arial" w:hAnsi="Arial" w:cs="Arial"/>
                <w:sz w:val="20"/>
                <w:szCs w:val="20"/>
              </w:rPr>
              <w:t xml:space="preserve">før bygget/ anlegget kan tas i bruk.</w:t>
            </w:r>
          </w:p>
        </w:tc>
        <w:tc>
          <w:tcPr>
            <w:tcW w:type="dxa" w:w="5103"/>
            <w:tcBorders/>
            <w:hideMark/>
          </w:tcPr>
          <w:p>
            <w:pPr>
              <w:spacing/>
              <w:ind w:left="228"/>
              <w:rPr>
                <w:rFonts w:ascii="Arial" w:hAnsi="Arial" w:cs="Arial"/>
                <w:sz w:val="20"/>
                <w:szCs w:val="20"/>
              </w:rPr>
            </w:pPr>
            <w:r>
              <w:rPr>
                <w:rFonts w:ascii="Arial" w:hAnsi="Arial" w:cs="Arial"/>
                <w:sz w:val="20"/>
                <w:szCs w:val="20"/>
              </w:rPr>
              <w:t xml:space="preserve">Nødvendig tid er prosjektavhengig. Teknisk komplekse prosjekter kan kreve til dels lang tid.</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(Krav til test-/igangkjøringstid beskrives og perioden tas inn i fremdriftsplanen.)</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9</w:t>
            </w:r>
          </w:p>
        </w:tc>
        <w:tc>
          <w:tcPr>
            <w:tcW w:type="dxa" w:w="1987"/>
            <w:tcBorders/>
            <w:hideMark/>
          </w:tcPr>
          <w:p>
            <w:pPr>
              <w:spacing/>
              <w:ind w:left="130"/>
              <w:rPr>
                <w:rFonts w:ascii="Arial" w:hAnsi="Arial" w:cs="Arial"/>
                <w:sz w:val="20"/>
                <w:szCs w:val="20"/>
              </w:rPr>
            </w:pPr>
            <w:r>
              <w:rPr>
                <w:rFonts w:ascii="Arial" w:hAnsi="Arial" w:cs="Arial"/>
                <w:sz w:val="20"/>
                <w:szCs w:val="20"/>
              </w:rPr>
              <w:t xml:space="preserve">Finnes det tilsvarende prosjekter som kan benyttes for å beregne byggetid.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Prosjektets organisasjon gjør undersøkelser for å finne aktuelle</w:t>
            </w:r>
            <w:r>
              <w:rPr>
                <w:rFonts w:ascii="Arial" w:hAnsi="Arial" w:cs="Arial"/>
                <w:sz w:val="20"/>
                <w:szCs w:val="20"/>
              </w:rPr>
              <w:br/>
            </w:r>
            <w:r>
              <w:rPr>
                <w:rFonts w:ascii="Arial" w:hAnsi="Arial" w:cs="Arial"/>
                <w:sz w:val="20"/>
                <w:szCs w:val="20"/>
              </w:rPr>
              <w:t xml:space="preserve">prosjekter som kan benyttes til kvalitetssikringen av fremdrift.</w:t>
            </w:r>
          </w:p>
          <w:p>
            <w:pPr>
              <w:spacing/>
              <w:ind w:left="228"/>
              <w:rPr>
                <w:rFonts w:ascii="Arial" w:hAnsi="Arial" w:cs="Arial"/>
                <w:sz w:val="20"/>
                <w:szCs w:val="20"/>
              </w:rPr>
            </w:pPr>
          </w:p>
          <w:p>
            <w:pPr>
              <w:spacing/>
              <w:ind w:left="228"/>
              <w:rPr>
                <w:rFonts w:ascii="Arial" w:hAnsi="Arial" w:cs="Arial"/>
                <w:sz w:val="18"/>
                <w:szCs w:val="18"/>
              </w:rPr>
            </w:pPr>
            <w:r>
              <w:rPr>
                <w:rFonts w:ascii="Arial" w:hAnsi="Arial" w:cs="Arial"/>
                <w:b/>
                <w:bCs/>
                <w:i/>
                <w:iCs/>
                <w:sz w:val="18"/>
                <w:szCs w:val="18"/>
              </w:rPr>
              <w:t xml:space="preserve">(Prosjekter som er benyttet i planleggingsarbei</w:t>
            </w:r>
            <w:r>
              <w:rPr>
                <w:rFonts w:ascii="Arial" w:hAnsi="Arial" w:cs="Arial"/>
                <w:b/>
                <w:bCs/>
                <w:i/>
                <w:iCs/>
                <w:sz w:val="18"/>
                <w:szCs w:val="18"/>
              </w:rPr>
              <w:softHyphen/>
            </w:r>
            <w:r>
              <w:rPr>
                <w:rFonts w:ascii="Arial" w:hAnsi="Arial" w:cs="Arial"/>
                <w:b/>
                <w:bCs/>
                <w:i/>
                <w:iCs/>
                <w:sz w:val="18"/>
                <w:szCs w:val="18"/>
              </w:rPr>
              <w:t xml:space="preserve">det listes opp med kommentarer.)</w:t>
            </w:r>
            <w:r>
              <w:rPr>
                <w:rFonts w:ascii="Arial" w:hAnsi="Arial" w:cs="Arial"/>
                <w:b/>
                <w:sz w:val="18"/>
                <w:szCs w:val="18"/>
              </w:rPr>
              <w:t xml:space="preserve"> </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10</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særskilte arbeider det ikke finnes erfaringer fra knyttet til byggetid.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Prosjektets organisasjon gjør ytterligere undersøkelser for å finne aktuelle prosjekter hvor det er utført tilsvarende særskilte arbeider som kan benyttes til kvalitetssikringen av fremdrift.</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(Vurderingene bør beskrives i et notat eventuelt referat.)</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bl>
    <w:p w14:paraId="4C5AE7BA">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r>
              <w:rPr/>
              <w:br w:type="page"/>
            </w:r>
            <w:r>
              <w:rPr/>
              <w:br w:type="page"/>
            </w: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r>
              <w:rPr>
                <w:rFonts w:ascii="Arial" w:hAnsi="Arial" w:cs="Arial"/>
                <w:b/>
                <w:bCs/>
                <w:color w:val="000000"/>
                <w:sz w:val="20"/>
                <w:szCs w:val="20"/>
              </w:rPr>
              <w:t xml:space="preserve">:</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11</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usikkerheter knyttet til grunnforhold, infrastruktur, annet.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Vurder behov for, og utfør grunnundersøkelser/ kartlegging. Innhent informasjon og erfaringer fra tilsvarende/tilliggende prosjekter. Benytt fagkompetanse i vurderingene. Legg inn usikkerhet som erfaringsmessig kan gi lengre byggetid.</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12</w:t>
            </w:r>
          </w:p>
        </w:tc>
        <w:tc>
          <w:tcPr>
            <w:tcW w:type="dxa" w:w="1987"/>
            <w:tcBorders/>
            <w:hideMark/>
          </w:tcPr>
          <w:p>
            <w:pPr>
              <w:spacing/>
              <w:ind w:left="130"/>
              <w:rPr>
                <w:rFonts w:ascii="Arial" w:hAnsi="Arial" w:cs="Arial"/>
                <w:sz w:val="20"/>
                <w:szCs w:val="20"/>
              </w:rPr>
            </w:pPr>
            <w:r>
              <w:rPr>
                <w:rFonts w:ascii="Arial" w:hAnsi="Arial" w:cs="Arial"/>
                <w:sz w:val="20"/>
                <w:szCs w:val="20"/>
              </w:rPr>
              <w:t xml:space="preserve">Betinger planlagt byggetid samtidige arbeider. Kan disse i så fall utføres med tilstrekkelige sikkerhetssoner.</w:t>
            </w:r>
          </w:p>
        </w:tc>
        <w:tc>
          <w:tcPr>
            <w:tcW w:type="dxa" w:w="5103"/>
            <w:tcBorders/>
            <w:hideMark/>
          </w:tcPr>
          <w:p>
            <w:pPr>
              <w:spacing/>
              <w:ind w:left="228"/>
              <w:rPr>
                <w:rFonts w:ascii="Arial" w:hAnsi="Arial" w:cs="Arial"/>
                <w:sz w:val="20"/>
                <w:szCs w:val="20"/>
              </w:rPr>
            </w:pPr>
            <w:r>
              <w:rPr>
                <w:rFonts w:ascii="Arial" w:hAnsi="Arial" w:cs="Arial"/>
                <w:sz w:val="20"/>
                <w:szCs w:val="20"/>
              </w:rPr>
              <w:t xml:space="preserve">Når det planlegges for mange samtidige arbeider er det svært viktig å gjøre grundige vurderinger slik at det ikke bygges inn feil i fremdriftsplanen.</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13</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lagt inn forutsetninger knyttet til tilkomster, </w:t>
            </w:r>
            <w:r>
              <w:rPr>
                <w:rFonts w:ascii="Arial" w:hAnsi="Arial" w:cs="Arial"/>
                <w:sz w:val="20"/>
                <w:szCs w:val="20"/>
              </w:rPr>
              <w:t xml:space="preserve">riggområder,</w:t>
            </w:r>
            <w:r>
              <w:rPr>
                <w:rFonts w:ascii="Arial" w:hAnsi="Arial" w:cs="Arial"/>
                <w:sz w:val="20"/>
                <w:szCs w:val="20"/>
              </w:rPr>
              <w:t xml:space="preserve"> anleggsveier.</w:t>
            </w:r>
          </w:p>
        </w:tc>
        <w:tc>
          <w:tcPr>
            <w:tcW w:type="dxa" w:w="5103"/>
            <w:tcBorders/>
            <w:hideMark/>
          </w:tcPr>
          <w:p>
            <w:pPr>
              <w:spacing/>
              <w:ind w:left="228"/>
              <w:rPr>
                <w:rFonts w:ascii="Arial" w:hAnsi="Arial" w:cs="Arial"/>
                <w:sz w:val="20"/>
                <w:szCs w:val="20"/>
              </w:rPr>
            </w:pPr>
            <w:r>
              <w:rPr>
                <w:rFonts w:ascii="Arial" w:hAnsi="Arial" w:cs="Arial"/>
                <w:sz w:val="20"/>
                <w:szCs w:val="20"/>
              </w:rPr>
              <w:t xml:space="preserve">Rammebetingelser knyttet til gitte forhold kan gi lengre byggetid siden effektiv drift i noen faser i prosjektet ikke oppnås. Vurderingene bør utføres som et teamarbeid.</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14</w:t>
            </w:r>
          </w:p>
        </w:tc>
        <w:tc>
          <w:tcPr>
            <w:tcW w:type="dxa" w:w="1987"/>
            <w:tcBorders/>
            <w:hideMark/>
          </w:tcPr>
          <w:p>
            <w:pPr>
              <w:spacing/>
              <w:ind w:left="130"/>
              <w:rPr>
                <w:rFonts w:ascii="Arial" w:hAnsi="Arial" w:cs="Arial"/>
                <w:sz w:val="20"/>
                <w:szCs w:val="20"/>
              </w:rPr>
            </w:pPr>
            <w:r>
              <w:rPr>
                <w:rFonts w:ascii="Arial" w:hAnsi="Arial" w:cs="Arial"/>
                <w:sz w:val="20"/>
                <w:szCs w:val="20"/>
              </w:rPr>
              <w:t xml:space="preserve">Vurder om det kan utføres forberedende arbeider i forkant av hovedarbeidene.</w:t>
            </w:r>
          </w:p>
        </w:tc>
        <w:tc>
          <w:tcPr>
            <w:tcW w:type="dxa" w:w="5103"/>
            <w:tcBorders/>
            <w:hideMark/>
          </w:tcPr>
          <w:p>
            <w:pPr>
              <w:spacing/>
              <w:ind w:left="228"/>
              <w:rPr>
                <w:rFonts w:ascii="Arial" w:hAnsi="Arial" w:cs="Arial"/>
                <w:sz w:val="20"/>
                <w:szCs w:val="20"/>
              </w:rPr>
            </w:pPr>
            <w:r>
              <w:rPr>
                <w:rFonts w:ascii="Arial" w:hAnsi="Arial" w:cs="Arial"/>
                <w:sz w:val="20"/>
                <w:szCs w:val="20"/>
              </w:rPr>
              <w:t xml:space="preserve">Særlig relevant når infrastruktur må legges om eller riggområder etableres. Vurderes som en del av kontrakts strategien. Hvis forberedende arbeider må utføres som en del av hovedarbeidene (før disse kan starte) er det viktig at tiden arbeidene tar vurderes.</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(Legg inn forberedende arbeider i fremdriftsplanen.)</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bl>
    <w:p w14:paraId="763E837D">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r>
              <w:rPr/>
              <w:br w:type="page"/>
            </w: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r>
              <w:rPr>
                <w:rFonts w:ascii="Arial" w:hAnsi="Arial" w:cs="Arial"/>
                <w:b/>
                <w:bCs/>
                <w:color w:val="000000"/>
                <w:sz w:val="20"/>
                <w:szCs w:val="20"/>
              </w:rPr>
              <w:t xml:space="preserve">:</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15</w:t>
            </w:r>
          </w:p>
        </w:tc>
        <w:tc>
          <w:tcPr>
            <w:tcW w:type="dxa" w:w="1987"/>
            <w:tcBorders/>
            <w:hideMark/>
          </w:tcPr>
          <w:p>
            <w:pPr>
              <w:spacing/>
              <w:ind w:left="130"/>
              <w:rPr>
                <w:rFonts w:ascii="Arial" w:hAnsi="Arial" w:cs="Arial"/>
                <w:sz w:val="20"/>
                <w:szCs w:val="20"/>
              </w:rPr>
            </w:pPr>
            <w:r>
              <w:rPr>
                <w:rFonts w:ascii="Arial" w:hAnsi="Arial" w:cs="Arial"/>
                <w:sz w:val="20"/>
                <w:szCs w:val="20"/>
              </w:rPr>
              <w:t xml:space="preserve">Arbeider som skal utføres i by/bynære</w:t>
            </w:r>
          </w:p>
          <w:p>
            <w:pPr>
              <w:spacing/>
              <w:ind w:left="130"/>
              <w:rPr>
                <w:rFonts w:ascii="Arial" w:hAnsi="Arial" w:cs="Arial"/>
                <w:sz w:val="20"/>
                <w:szCs w:val="20"/>
              </w:rPr>
            </w:pPr>
            <w:r>
              <w:rPr>
                <w:rFonts w:ascii="Arial" w:hAnsi="Arial" w:cs="Arial"/>
                <w:sz w:val="20"/>
                <w:szCs w:val="20"/>
              </w:rPr>
              <w:t xml:space="preserve">strøk.</w:t>
            </w:r>
          </w:p>
          <w:p>
            <w:pPr>
              <w:spacing/>
              <w:ind w:left="130"/>
              <w:rPr>
                <w:rFonts w:ascii="Arial" w:hAnsi="Arial" w:cs="Arial"/>
                <w:sz w:val="20"/>
                <w:szCs w:val="20"/>
              </w:rPr>
            </w:pPr>
            <w:r>
              <w:rPr>
                <w:rFonts w:ascii="Arial" w:hAnsi="Arial" w:cs="Arial"/>
                <w:sz w:val="20"/>
                <w:szCs w:val="20"/>
              </w:rPr>
              <w:t xml:space="preserve">(Hvis aktuelt)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Lange avstander fra rigg/-brakkeområder kan medføre lavere effektivitet og mulig lengre byggetid. Spesielt aktuelt ved vareleveranser.</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16</w:t>
            </w:r>
          </w:p>
        </w:tc>
        <w:tc>
          <w:tcPr>
            <w:tcW w:type="dxa" w:w="1987"/>
            <w:tcBorders/>
            <w:hideMark/>
          </w:tcPr>
          <w:p>
            <w:pPr>
              <w:spacing/>
              <w:ind w:left="130"/>
              <w:rPr>
                <w:rFonts w:ascii="Arial" w:hAnsi="Arial" w:cs="Arial"/>
                <w:sz w:val="20"/>
                <w:szCs w:val="20"/>
              </w:rPr>
            </w:pPr>
            <w:r>
              <w:rPr>
                <w:rFonts w:ascii="Arial" w:hAnsi="Arial" w:cs="Arial"/>
                <w:sz w:val="20"/>
                <w:szCs w:val="20"/>
              </w:rPr>
              <w:t xml:space="preserve">Arbeider som skal utføres i bygg i drift</w:t>
            </w:r>
          </w:p>
          <w:p>
            <w:pPr>
              <w:spacing/>
              <w:ind w:left="130"/>
              <w:rPr>
                <w:rFonts w:ascii="Arial" w:hAnsi="Arial" w:cs="Arial"/>
                <w:sz w:val="20"/>
                <w:szCs w:val="20"/>
              </w:rPr>
            </w:pPr>
            <w:r>
              <w:rPr>
                <w:rFonts w:ascii="Arial" w:hAnsi="Arial" w:cs="Arial"/>
                <w:sz w:val="20"/>
                <w:szCs w:val="20"/>
              </w:rPr>
              <w:t xml:space="preserve">eller ved vei/bane i drift.</w:t>
            </w:r>
          </w:p>
          <w:p>
            <w:pPr>
              <w:spacing/>
              <w:ind w:left="130"/>
              <w:rPr>
                <w:rFonts w:ascii="Arial" w:hAnsi="Arial" w:cs="Arial"/>
                <w:sz w:val="20"/>
                <w:szCs w:val="20"/>
              </w:rPr>
            </w:pPr>
            <w:r>
              <w:rPr>
                <w:rFonts w:ascii="Arial" w:hAnsi="Arial" w:cs="Arial"/>
                <w:sz w:val="20"/>
                <w:szCs w:val="20"/>
              </w:rPr>
              <w:t xml:space="preserve">(Hvis aktuelt)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Rammebetingelser knyttet til gitte forhold kan gi lengre byggetid siden effektiv drift i noen faser i prosjektet ikke oppnås. Vurderingene bør utføres som et teamarbeid.</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17</w:t>
            </w:r>
          </w:p>
        </w:tc>
        <w:tc>
          <w:tcPr>
            <w:tcW w:type="dxa" w:w="1987"/>
            <w:tcBorders/>
            <w:hideMark/>
          </w:tcPr>
          <w:p>
            <w:pPr>
              <w:spacing/>
              <w:ind w:left="130"/>
              <w:rPr>
                <w:rFonts w:ascii="Arial" w:hAnsi="Arial" w:cs="Arial"/>
                <w:sz w:val="20"/>
                <w:szCs w:val="20"/>
              </w:rPr>
            </w:pPr>
            <w:r>
              <w:rPr>
                <w:rFonts w:ascii="Arial" w:hAnsi="Arial" w:cs="Arial"/>
                <w:sz w:val="20"/>
                <w:szCs w:val="20"/>
              </w:rPr>
              <w:t xml:space="preserve">Lange avstander fra brakke-/rigg</w:t>
            </w:r>
            <w:r>
              <w:rPr>
                <w:rFonts w:ascii="Arial" w:hAnsi="Arial" w:cs="Arial"/>
                <w:sz w:val="20"/>
                <w:szCs w:val="20"/>
              </w:rPr>
              <w:t xml:space="preserve">-</w:t>
            </w:r>
            <w:r>
              <w:rPr>
                <w:rFonts w:ascii="Arial" w:hAnsi="Arial" w:cs="Arial"/>
                <w:sz w:val="20"/>
                <w:szCs w:val="20"/>
              </w:rPr>
              <w:t xml:space="preserve">område til der arbeid utføres.</w:t>
            </w:r>
          </w:p>
          <w:p>
            <w:pPr>
              <w:spacing/>
              <w:ind w:left="130"/>
              <w:rPr>
                <w:rFonts w:ascii="Arial" w:hAnsi="Arial" w:cs="Arial"/>
                <w:sz w:val="20"/>
                <w:szCs w:val="20"/>
              </w:rPr>
            </w:pPr>
            <w:r>
              <w:rPr>
                <w:rFonts w:ascii="Arial" w:hAnsi="Arial" w:cs="Arial"/>
                <w:sz w:val="20"/>
                <w:szCs w:val="20"/>
              </w:rPr>
              <w:t xml:space="preserve">(Hvis aktuelt)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Lange avstander fra rigg/-brakkeområder kan medføre lavere effektivitet og mulig lengre byggetid. Spesielt aktuelt ved vareleveranser.</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18</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Eventuelle særskilte krav til arbeidstid. Krav i offentlige forskrifter til arbeid ut over normal arbeidstid.</w:t>
            </w:r>
          </w:p>
        </w:tc>
        <w:tc>
          <w:tcPr>
            <w:tcW w:type="dxa" w:w="5103"/>
            <w:tcBorders/>
            <w:hideMark/>
          </w:tcPr>
          <w:p>
            <w:pPr>
              <w:spacing/>
              <w:ind w:left="228"/>
              <w:rPr>
                <w:rFonts w:ascii="Arial" w:hAnsi="Arial" w:cs="Arial"/>
                <w:sz w:val="20"/>
                <w:szCs w:val="20"/>
              </w:rPr>
            </w:pPr>
            <w:r>
              <w:rPr>
                <w:rFonts w:ascii="Arial" w:hAnsi="Arial" w:cs="Arial"/>
                <w:sz w:val="20"/>
                <w:szCs w:val="20"/>
              </w:rPr>
              <w:t xml:space="preserve">Restriksjoner knyttet til ulike arbeidsoperasjoner vurderes. Arbeidstidsordninger skal være slik at personellets helse blir ivaretatt. Arbeidslivsorganisasjoner og Arbeidstilsynet bør konsulteres.</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w:t>
            </w:r>
            <w:r>
              <w:rPr>
                <w:rFonts w:ascii="Arial" w:hAnsi="Arial" w:cs="Arial"/>
                <w:b/>
                <w:bCs/>
                <w:i/>
                <w:iCs/>
                <w:sz w:val="18"/>
                <w:szCs w:val="18"/>
              </w:rPr>
              <w:t xml:space="preserve">Beskriv beregninger som er utført samt forutsetninger.)</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19</w:t>
            </w:r>
          </w:p>
        </w:tc>
        <w:tc>
          <w:tcPr>
            <w:tcW w:type="dxa" w:w="1987"/>
            <w:tcBorders/>
            <w:hideMark/>
          </w:tcPr>
          <w:p>
            <w:pPr>
              <w:spacing/>
              <w:ind w:left="130"/>
              <w:rPr>
                <w:rFonts w:ascii="Arial" w:hAnsi="Arial" w:cs="Arial"/>
                <w:sz w:val="20"/>
                <w:szCs w:val="20"/>
              </w:rPr>
            </w:pPr>
            <w:r>
              <w:rPr>
                <w:rFonts w:ascii="Arial" w:hAnsi="Arial" w:cs="Arial"/>
                <w:sz w:val="20"/>
                <w:szCs w:val="20"/>
              </w:rPr>
              <w:t xml:space="preserve">Bemanning for de enkelte fag.</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Planlegging av tidsforbruk knyttet til bemanning bør utføres som et teamarbeid. Særskilt kunnskap innhentes ved behov. I noen tilfeller finnes erfaringsdata for deler av arbeidene.</w:t>
            </w:r>
          </w:p>
          <w:p>
            <w:pPr>
              <w:spacing/>
              <w:ind w:left="228"/>
              <w:rPr>
                <w:rFonts w:ascii="Arial" w:hAnsi="Arial" w:cs="Arial"/>
                <w:sz w:val="20"/>
                <w:szCs w:val="20"/>
              </w:rPr>
            </w:pPr>
          </w:p>
          <w:p>
            <w:pPr>
              <w:spacing/>
              <w:ind w:left="228"/>
              <w:rPr>
                <w:rFonts w:ascii="Arial" w:hAnsi="Arial" w:cs="Arial"/>
                <w:sz w:val="18"/>
                <w:szCs w:val="18"/>
              </w:rPr>
            </w:pPr>
            <w:r>
              <w:rPr>
                <w:rFonts w:ascii="Arial" w:hAnsi="Arial" w:cs="Arial"/>
                <w:b/>
                <w:bCs/>
                <w:i/>
                <w:iCs/>
                <w:sz w:val="18"/>
                <w:szCs w:val="18"/>
              </w:rPr>
              <w:t xml:space="preserve">(Beskriv beregninger som er utført samt forutsetninger.)</w:t>
            </w:r>
            <w:r>
              <w:rPr>
                <w:rFonts w:ascii="Arial" w:hAnsi="Arial" w:cs="Arial"/>
                <w:b/>
                <w:sz w:val="18"/>
                <w:szCs w:val="18"/>
              </w:rPr>
              <w:t xml:space="preserve"> </w:t>
            </w:r>
          </w:p>
        </w:tc>
        <w:tc>
          <w:tcPr>
            <w:tcW w:type="dxa" w:w="6943"/>
            <w:tcBorders/>
          </w:tcPr>
          <w:p>
            <w:pPr>
              <w:spacing/>
              <w:ind w:left="228"/>
              <w:rPr>
                <w:rFonts w:ascii="Arial" w:hAnsi="Arial" w:cs="Arial"/>
                <w:sz w:val="20"/>
                <w:szCs w:val="20"/>
              </w:rPr>
            </w:pPr>
          </w:p>
        </w:tc>
      </w:tr>
    </w:tbl>
    <w:p w14:paraId="24699B4D">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r>
              <w:rPr/>
              <w:br w:type="page"/>
            </w:r>
            <w:r>
              <w:rPr/>
              <w:br w:type="page"/>
            </w:r>
            <w:r>
              <w:rPr/>
              <w:br w:type="page"/>
            </w: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20</w:t>
            </w:r>
          </w:p>
        </w:tc>
        <w:tc>
          <w:tcPr>
            <w:tcW w:type="dxa" w:w="1987"/>
            <w:tcBorders/>
            <w:hideMark/>
          </w:tcPr>
          <w:p>
            <w:pPr>
              <w:spacing/>
              <w:ind w:left="130"/>
              <w:rPr>
                <w:rFonts w:ascii="Arial" w:hAnsi="Arial" w:cs="Arial"/>
                <w:sz w:val="20"/>
                <w:szCs w:val="20"/>
              </w:rPr>
            </w:pPr>
            <w:r>
              <w:rPr>
                <w:rFonts w:ascii="Arial" w:hAnsi="Arial" w:cs="Arial"/>
                <w:sz w:val="20"/>
                <w:szCs w:val="20"/>
              </w:rPr>
              <w:t xml:space="preserve">Rekkefølger på arbeider og planlagte samtidige arbeider.</w:t>
            </w:r>
          </w:p>
        </w:tc>
        <w:tc>
          <w:tcPr>
            <w:tcW w:type="dxa" w:w="5103"/>
            <w:tcBorders/>
            <w:hideMark/>
          </w:tcPr>
          <w:p>
            <w:pPr>
              <w:spacing/>
              <w:ind w:left="228"/>
              <w:rPr>
                <w:rFonts w:ascii="Arial" w:hAnsi="Arial" w:cs="Arial"/>
                <w:sz w:val="20"/>
                <w:szCs w:val="20"/>
              </w:rPr>
            </w:pPr>
            <w:r>
              <w:rPr>
                <w:rFonts w:ascii="Arial" w:hAnsi="Arial" w:cs="Arial"/>
                <w:sz w:val="20"/>
                <w:szCs w:val="20"/>
              </w:rPr>
              <w:t xml:space="preserve">Planlegging av rekkefølger på arbeider og samtidigheter vil ha stor betydning for fremdriftsplanleggingen og bør utføres som et teamarbeid. Særskilt kunnskap innhentes ved behov.</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(Beskriv beregninger som er utført samt forutsetninger.)</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21</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Er det forhold i prosjektet som gjør at endringer kan </w:t>
            </w:r>
            <w:r>
              <w:rPr>
                <w:rFonts w:ascii="Arial" w:hAnsi="Arial" w:cs="Arial"/>
                <w:sz w:val="20"/>
                <w:szCs w:val="20"/>
              </w:rPr>
              <w:t xml:space="preserve">påregnes</w:t>
            </w:r>
            <w:r>
              <w:rPr>
                <w:rFonts w:ascii="Arial" w:hAnsi="Arial" w:cs="Arial"/>
                <w:sz w:val="20"/>
                <w:szCs w:val="20"/>
              </w:rPr>
              <w:t xml:space="preserve">.</w:t>
            </w:r>
          </w:p>
        </w:tc>
        <w:tc>
          <w:tcPr>
            <w:tcW w:type="dxa" w:w="5103"/>
            <w:tcBorders/>
            <w:hideMark/>
          </w:tcPr>
          <w:p>
            <w:pPr>
              <w:spacing/>
              <w:ind w:left="228"/>
              <w:rPr>
                <w:rFonts w:ascii="Arial" w:hAnsi="Arial" w:cs="Arial"/>
                <w:sz w:val="20"/>
                <w:szCs w:val="20"/>
              </w:rPr>
            </w:pPr>
            <w:r>
              <w:rPr>
                <w:rFonts w:ascii="Arial" w:hAnsi="Arial" w:cs="Arial"/>
                <w:sz w:val="20"/>
                <w:szCs w:val="20"/>
              </w:rPr>
              <w:t xml:space="preserve">Eventuelle konsekvenser for byggetid av mulige endringer byggherren har kjennskap til vurderes. </w:t>
            </w:r>
            <w:r>
              <w:rPr>
                <w:rFonts w:ascii="Arial" w:hAnsi="Arial" w:cs="Arial"/>
                <w:sz w:val="20"/>
                <w:szCs w:val="20"/>
              </w:rPr>
              <w:t xml:space="preserve">Spesiell fokus</w:t>
            </w:r>
            <w:r>
              <w:rPr>
                <w:rFonts w:ascii="Arial" w:hAnsi="Arial" w:cs="Arial"/>
                <w:sz w:val="20"/>
                <w:szCs w:val="20"/>
              </w:rPr>
              <w:t xml:space="preserve"> på økt prosjekteringstid, </w:t>
            </w:r>
            <w:r>
              <w:rPr>
                <w:rFonts w:ascii="Arial" w:hAnsi="Arial" w:cs="Arial"/>
                <w:sz w:val="20"/>
                <w:szCs w:val="20"/>
              </w:rPr>
              <w:t xml:space="preserve">bestillingstid,</w:t>
            </w:r>
            <w:r>
              <w:rPr>
                <w:rFonts w:ascii="Arial" w:hAnsi="Arial" w:cs="Arial"/>
                <w:sz w:val="20"/>
                <w:szCs w:val="20"/>
              </w:rPr>
              <w:t xml:space="preserve"> ressurssituasjon.</w:t>
            </w:r>
          </w:p>
          <w:p>
            <w:pPr>
              <w:spacing/>
              <w:ind w:left="228"/>
              <w:rPr>
                <w:rFonts w:ascii="Arial" w:hAnsi="Arial" w:cs="Arial"/>
                <w:sz w:val="20"/>
                <w:szCs w:val="20"/>
              </w:rPr>
            </w:pPr>
          </w:p>
          <w:p>
            <w:pPr>
              <w:spacing/>
              <w:ind w:left="228"/>
              <w:rPr>
                <w:rFonts w:ascii="Arial" w:hAnsi="Arial" w:cs="Arial"/>
                <w:sz w:val="18"/>
                <w:szCs w:val="18"/>
              </w:rPr>
            </w:pPr>
            <w:r>
              <w:rPr>
                <w:rFonts w:ascii="Arial" w:hAnsi="Arial" w:cs="Arial"/>
                <w:b/>
                <w:bCs/>
                <w:i/>
                <w:iCs/>
                <w:sz w:val="18"/>
                <w:szCs w:val="18"/>
              </w:rPr>
              <w:t xml:space="preserve">(Vurderinger som er gjort, samt forutsetninger som er lagt inn beskrives hvis dette er mulig/aktuelt.)</w:t>
            </w:r>
            <w:r>
              <w:rPr>
                <w:rFonts w:ascii="Arial" w:hAnsi="Arial" w:cs="Arial"/>
                <w:b/>
                <w:sz w:val="18"/>
                <w:szCs w:val="18"/>
              </w:rPr>
              <w:t xml:space="preserve"> </w:t>
            </w: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22</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Eventuelle privatrettslige avtaler som må tegnes for å gjennomføre prosjektet </w:t>
            </w:r>
            <w:r>
              <w:rPr>
                <w:rFonts w:ascii="Arial" w:hAnsi="Arial" w:cs="Arial"/>
                <w:sz w:val="20"/>
                <w:szCs w:val="20"/>
              </w:rPr>
              <w:t xml:space="preserve">iht</w:t>
            </w:r>
            <w:r>
              <w:rPr>
                <w:rFonts w:ascii="Arial" w:hAnsi="Arial" w:cs="Arial"/>
                <w:sz w:val="20"/>
                <w:szCs w:val="20"/>
              </w:rPr>
              <w:t xml:space="preserve"> tidsplan. </w:t>
            </w:r>
          </w:p>
          <w:p>
            <w:pPr>
              <w:spacing/>
              <w:ind w:left="130"/>
              <w:rPr>
                <w:rFonts w:ascii="Arial" w:hAnsi="Arial" w:cs="Arial"/>
                <w:sz w:val="20"/>
                <w:szCs w:val="20"/>
              </w:rPr>
            </w:pPr>
            <w:r>
              <w:rPr>
                <w:rFonts w:ascii="Arial" w:hAnsi="Arial" w:cs="Arial"/>
                <w:sz w:val="20"/>
                <w:szCs w:val="20"/>
              </w:rPr>
              <w:t xml:space="preserve">F.eks</w:t>
            </w:r>
            <w:r>
              <w:rPr>
                <w:rFonts w:ascii="Arial" w:hAnsi="Arial" w:cs="Arial"/>
                <w:sz w:val="20"/>
                <w:szCs w:val="20"/>
              </w:rPr>
              <w:t xml:space="preserve"> tilkomster, rigg</w:t>
            </w:r>
            <w:r>
              <w:rPr>
                <w:rFonts w:ascii="Arial" w:hAnsi="Arial" w:cs="Arial"/>
                <w:sz w:val="20"/>
                <w:szCs w:val="20"/>
              </w:rPr>
              <w:softHyphen/>
            </w:r>
            <w:r>
              <w:rPr>
                <w:rFonts w:ascii="Arial" w:hAnsi="Arial" w:cs="Arial"/>
                <w:sz w:val="20"/>
                <w:szCs w:val="20"/>
              </w:rPr>
              <w:t xml:space="preserve">arealer, anleggsveier og infrastruktur.</w:t>
            </w:r>
          </w:p>
        </w:tc>
        <w:tc>
          <w:tcPr>
            <w:tcW w:type="dxa" w:w="5103"/>
            <w:tcBorders/>
            <w:hideMark/>
          </w:tcPr>
          <w:p>
            <w:pPr>
              <w:spacing/>
              <w:ind w:left="228"/>
              <w:rPr>
                <w:rFonts w:ascii="Arial" w:hAnsi="Arial" w:cs="Arial"/>
                <w:sz w:val="20"/>
                <w:szCs w:val="20"/>
              </w:rPr>
            </w:pPr>
            <w:r>
              <w:rPr>
                <w:rFonts w:ascii="Arial" w:hAnsi="Arial" w:cs="Arial"/>
                <w:sz w:val="20"/>
                <w:szCs w:val="20"/>
              </w:rPr>
              <w:t xml:space="preserve">Fremskaff detaljerte opplysninger knyttet til offentlig saks-behandling.</w:t>
            </w:r>
          </w:p>
          <w:p>
            <w:pPr>
              <w:spacing/>
              <w:ind w:left="228"/>
              <w:rPr>
                <w:rFonts w:ascii="Arial" w:hAnsi="Arial" w:cs="Arial"/>
                <w:sz w:val="20"/>
                <w:szCs w:val="20"/>
              </w:rPr>
            </w:pPr>
          </w:p>
          <w:p>
            <w:pPr>
              <w:spacing/>
              <w:ind w:left="228"/>
              <w:rPr>
                <w:rFonts w:ascii="Arial" w:hAnsi="Arial" w:cs="Arial"/>
                <w:b/>
                <w:bCs/>
                <w:i/>
                <w:iCs/>
                <w:sz w:val="18"/>
                <w:szCs w:val="18"/>
              </w:rPr>
            </w:pPr>
            <w:r>
              <w:rPr>
                <w:rFonts w:ascii="Arial" w:hAnsi="Arial" w:cs="Arial"/>
                <w:b/>
                <w:bCs/>
                <w:i/>
                <w:iCs/>
                <w:sz w:val="18"/>
                <w:szCs w:val="18"/>
              </w:rPr>
              <w:t xml:space="preserve">(Tidspunkter for søknader/ annen offentlig dokumentasjon samt forventet saksbehandlingstid legges inn i fremdriftsplanen.)</w:t>
            </w:r>
          </w:p>
          <w:p>
            <w:pPr>
              <w:spacing/>
              <w:rPr>
                <w:rFonts w:ascii="Arial" w:hAnsi="Arial" w:cs="Arial"/>
                <w:sz w:val="20"/>
                <w:szCs w:val="20"/>
              </w:rPr>
            </w:pPr>
          </w:p>
        </w:tc>
        <w:tc>
          <w:tcPr>
            <w:tcW w:type="dxa" w:w="6943"/>
            <w:tcBorders/>
          </w:tcPr>
          <w:p>
            <w:pPr>
              <w:spacing/>
              <w:ind w:left="228"/>
              <w:rPr>
                <w:rFonts w:ascii="Arial" w:hAnsi="Arial" w:cs="Arial"/>
                <w:sz w:val="20"/>
                <w:szCs w:val="20"/>
              </w:rPr>
            </w:pPr>
          </w:p>
        </w:tc>
      </w:tr>
      <w:tr>
        <w:trPr/>
        <w:tc>
          <w:tcPr>
            <w:tcW w:type="dxa" w:w="413"/>
            <w:tcBorders/>
          </w:tcPr>
          <w:p>
            <w:pPr>
              <w:spacing/>
              <w:ind w:left="130"/>
              <w:rPr>
                <w:rFonts w:ascii="Arial" w:hAnsi="Arial" w:cs="Arial"/>
                <w:sz w:val="20"/>
                <w:szCs w:val="20"/>
              </w:rPr>
            </w:pPr>
            <w:r>
              <w:rPr>
                <w:rFonts w:ascii="Arial" w:hAnsi="Arial" w:cs="Arial"/>
                <w:sz w:val="20"/>
                <w:szCs w:val="20"/>
              </w:rPr>
              <w:t xml:space="preserve">23</w:t>
            </w:r>
          </w:p>
        </w:tc>
        <w:tc>
          <w:tcPr>
            <w:tcW w:type="dxa" w:w="1987"/>
            <w:tcBorders/>
            <w:hideMark/>
          </w:tcPr>
          <w:p>
            <w:pPr>
              <w:spacing/>
              <w:ind w:left="130"/>
              <w:rPr>
                <w:rFonts w:ascii="Arial" w:hAnsi="Arial" w:cs="Arial"/>
                <w:sz w:val="20"/>
                <w:szCs w:val="20"/>
              </w:rPr>
            </w:pPr>
            <w:r>
              <w:rPr>
                <w:rFonts w:ascii="Arial" w:hAnsi="Arial" w:cs="Arial"/>
                <w:sz w:val="20"/>
                <w:szCs w:val="20"/>
              </w:rPr>
              <w:t xml:space="preserve">Eventuelle grensesnitt mot tilliggende prosjekter som har konsekvenser for fremdrift.</w:t>
            </w:r>
          </w:p>
        </w:tc>
        <w:tc>
          <w:tcPr>
            <w:tcW w:type="dxa" w:w="5103"/>
            <w:tcBorders/>
            <w:hideMark/>
          </w:tcPr>
          <w:p>
            <w:pPr>
              <w:spacing/>
              <w:ind w:left="228"/>
              <w:rPr>
                <w:rFonts w:ascii="Arial" w:hAnsi="Arial" w:cs="Arial"/>
                <w:sz w:val="20"/>
                <w:szCs w:val="20"/>
              </w:rPr>
            </w:pPr>
            <w:r>
              <w:rPr>
                <w:rFonts w:ascii="Arial" w:hAnsi="Arial" w:cs="Arial"/>
                <w:sz w:val="20"/>
                <w:szCs w:val="20"/>
              </w:rPr>
              <w:t xml:space="preserve">Avklar de forhold i grensesnitt som har betydning for fremdrift/ milepeler.</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(Avklaringer som er gjort, samt forutsetninger som er lagt inn</w:t>
            </w:r>
            <w:r>
              <w:rPr>
                <w:rFonts w:ascii="Arial" w:hAnsi="Arial" w:cs="Arial"/>
                <w:b/>
                <w:bCs/>
                <w:i/>
                <w:iCs/>
                <w:sz w:val="18"/>
                <w:szCs w:val="18"/>
              </w:rPr>
              <w:t xml:space="preserve">,</w:t>
            </w:r>
            <w:r>
              <w:rPr>
                <w:rFonts w:ascii="Arial" w:hAnsi="Arial" w:cs="Arial"/>
                <w:b/>
                <w:bCs/>
                <w:i/>
                <w:iCs/>
                <w:sz w:val="18"/>
                <w:szCs w:val="18"/>
              </w:rPr>
              <w:t xml:space="preserve"> beskrives.)</w:t>
            </w:r>
          </w:p>
        </w:tc>
        <w:tc>
          <w:tcPr>
            <w:tcW w:type="dxa" w:w="6943"/>
            <w:tcBorders/>
          </w:tcPr>
          <w:p>
            <w:pPr>
              <w:spacing/>
              <w:ind w:left="228"/>
              <w:rPr>
                <w:rFonts w:ascii="Arial" w:hAnsi="Arial" w:cs="Arial"/>
                <w:sz w:val="20"/>
                <w:szCs w:val="20"/>
              </w:rPr>
            </w:pPr>
          </w:p>
        </w:tc>
      </w:tr>
    </w:tbl>
    <w:p w14:paraId="54A32EFD">
      <w:pPr>
        <w:spacing/>
        <w:rPr/>
      </w:pPr>
      <w:r>
        <w:rPr/>
        <w:br w:type="page"/>
      </w:r>
    </w:p>
    <w:tbl>
      <w:tblPr>
        <w:tblW w:w="1444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413"/>
        <w:gridCol w:w="1987"/>
        <w:gridCol w:w="5103"/>
        <w:gridCol w:w="6943"/>
      </w:tblGrid>
      <w:tr>
        <w:trPr/>
        <w:tc>
          <w:tcPr>
            <w:tcW w:type="dxa" w:w="413"/>
            <w:tcBorders/>
            <w:shd w:fill="ADADAD" w:color="auto" w:val="clear"/>
          </w:tcPr>
          <w:p>
            <w:pPr>
              <w:spacing/>
              <w:ind w:left="130"/>
              <w:rPr>
                <w:rFonts w:ascii="Arial" w:hAnsi="Arial" w:cs="Arial"/>
                <w:b/>
                <w:color w:val="000000"/>
                <w:sz w:val="20"/>
                <w:szCs w:val="20"/>
              </w:rPr>
            </w:pPr>
            <w:r>
              <w:rPr/>
              <w:br w:type="page"/>
            </w:r>
            <w:r>
              <w:rPr/>
              <w:br w:type="page"/>
            </w:r>
          </w:p>
        </w:tc>
        <w:tc>
          <w:tcPr>
            <w:tcW w:type="dxa" w:w="1987"/>
            <w:tcBorders/>
            <w:shd w:fill="ADADAD" w:color="auto" w:val="clear"/>
            <w:hideMark/>
            <w:vAlign w:val="center"/>
          </w:tcPr>
          <w:p>
            <w:pPr>
              <w:spacing/>
              <w:ind w:left="130"/>
              <w:rPr>
                <w:rFonts w:ascii="Arial" w:hAnsi="Arial" w:cs="Arial"/>
                <w:b/>
                <w:bCs/>
                <w:color w:val="000000"/>
                <w:sz w:val="20"/>
                <w:szCs w:val="20"/>
              </w:rPr>
            </w:pPr>
            <w:r>
              <w:rPr>
                <w:rFonts w:ascii="Arial" w:hAnsi="Arial" w:cs="Arial"/>
                <w:b/>
                <w:bCs/>
                <w:color w:val="000000"/>
                <w:sz w:val="20"/>
                <w:szCs w:val="20"/>
              </w:rPr>
              <w:t xml:space="preserve">Forhold :</w:t>
            </w:r>
          </w:p>
          <w:p>
            <w:pPr>
              <w:spacing/>
              <w:ind w:left="130"/>
              <w:rPr>
                <w:rFonts w:ascii="Arial" w:hAnsi="Arial" w:cs="Arial"/>
                <w:b/>
                <w:color w:val="000000"/>
                <w:sz w:val="20"/>
                <w:szCs w:val="20"/>
              </w:rPr>
            </w:pPr>
          </w:p>
          <w:p>
            <w:pPr>
              <w:spacing/>
              <w:ind w:left="130"/>
              <w:rPr>
                <w:rFonts w:ascii="Arial" w:hAnsi="Arial" w:cs="Arial"/>
                <w:b/>
                <w:color w:val="000000"/>
                <w:sz w:val="20"/>
                <w:szCs w:val="20"/>
              </w:rPr>
            </w:pPr>
          </w:p>
        </w:tc>
        <w:tc>
          <w:tcPr>
            <w:tcW w:type="dxa" w:w="5103"/>
            <w:tcBorders/>
            <w:shd w:fill="ADADAD" w:color="auto" w:val="clear"/>
            <w:hideMark/>
          </w:tcPr>
          <w:p>
            <w:pPr>
              <w:spacing/>
              <w:ind w:left="228"/>
              <w:rPr>
                <w:rFonts w:ascii="Arial" w:hAnsi="Arial" w:cs="Arial"/>
                <w:b/>
                <w:bCs/>
                <w:color w:val="000000"/>
                <w:sz w:val="20"/>
                <w:szCs w:val="20"/>
              </w:rPr>
            </w:pPr>
            <w:r>
              <w:rPr>
                <w:rFonts w:ascii="Arial" w:hAnsi="Arial" w:cs="Arial"/>
                <w:b/>
                <w:bCs/>
                <w:color w:val="000000"/>
                <w:sz w:val="20"/>
                <w:szCs w:val="20"/>
              </w:rPr>
              <w:t xml:space="preserve">Relevante tiltak/</w:t>
            </w:r>
            <w:r>
              <w:rPr>
                <w:rFonts w:ascii="Arial" w:hAnsi="Arial" w:cs="Arial"/>
                <w:b/>
                <w:bCs/>
                <w:color w:val="000000"/>
                <w:sz w:val="20"/>
                <w:szCs w:val="20"/>
              </w:rPr>
              <w:t xml:space="preserve">vurdering</w:t>
            </w:r>
            <w:r>
              <w:rPr>
                <w:rFonts w:ascii="Arial" w:hAnsi="Arial" w:cs="Arial"/>
                <w:b/>
                <w:bCs/>
                <w:color w:val="000000"/>
                <w:sz w:val="20"/>
                <w:szCs w:val="20"/>
              </w:rPr>
              <w:t xml:space="preserve"> :</w:t>
            </w:r>
          </w:p>
        </w:tc>
        <w:tc>
          <w:tcPr>
            <w:tcW w:type="dxa" w:w="6943"/>
            <w:tcBorders/>
            <w:shd w:fill="ADADAD" w:color="auto" w:val="clear"/>
          </w:tcPr>
          <w:p>
            <w:pPr>
              <w:spacing/>
              <w:ind w:left="228"/>
              <w:rPr>
                <w:rFonts w:ascii="Arial" w:hAnsi="Arial" w:cs="Arial"/>
                <w:b/>
                <w:bCs/>
                <w:color w:val="000000"/>
                <w:sz w:val="20"/>
                <w:szCs w:val="20"/>
              </w:rPr>
            </w:pPr>
            <w:r>
              <w:rPr>
                <w:rFonts w:ascii="Arial" w:hAnsi="Arial" w:cs="Arial"/>
                <w:b/>
                <w:bCs/>
                <w:color w:val="000000"/>
                <w:sz w:val="20"/>
                <w:szCs w:val="20"/>
              </w:rPr>
              <w:t xml:space="preserve">Dokumentasjon / </w:t>
            </w:r>
            <w:r>
              <w:rPr>
                <w:rFonts w:ascii="Arial" w:hAnsi="Arial" w:cs="Arial"/>
                <w:b/>
                <w:bCs/>
                <w:color w:val="000000"/>
                <w:sz w:val="20"/>
                <w:szCs w:val="20"/>
              </w:rPr>
              <w:t xml:space="preserve">Merknader :</w:t>
            </w:r>
          </w:p>
        </w:tc>
      </w:tr>
      <w:tr>
        <w:trPr/>
        <w:tc>
          <w:tcPr>
            <w:tcW w:type="dxa" w:w="413"/>
            <w:tcBorders/>
          </w:tcPr>
          <w:p>
            <w:pPr>
              <w:spacing/>
              <w:ind w:left="130"/>
              <w:rPr>
                <w:rFonts w:ascii="Arial" w:hAnsi="Arial" w:cs="Arial"/>
                <w:sz w:val="20"/>
                <w:szCs w:val="20"/>
              </w:rPr>
            </w:pPr>
            <w:r>
              <w:rPr>
                <w:rFonts w:ascii="Arial" w:hAnsi="Arial" w:cs="Arial"/>
                <w:sz w:val="20"/>
                <w:szCs w:val="20"/>
              </w:rPr>
              <w:t xml:space="preserve">24</w:t>
            </w:r>
          </w:p>
        </w:tc>
        <w:tc>
          <w:tcPr>
            <w:tcW w:type="dxa" w:w="1987"/>
            <w:tcBorders/>
            <w:hideMark/>
          </w:tcPr>
          <w:p>
            <w:pPr>
              <w:spacing/>
              <w:ind w:left="130"/>
              <w:rPr>
                <w:rFonts w:ascii="Arial" w:hAnsi="Arial" w:cs="Arial"/>
                <w:sz w:val="20"/>
                <w:szCs w:val="20"/>
              </w:rPr>
            </w:pPr>
            <w:r>
              <w:rPr>
                <w:rFonts w:ascii="Arial" w:hAnsi="Arial" w:cs="Arial"/>
                <w:sz w:val="20"/>
                <w:szCs w:val="20"/>
              </w:rPr>
              <w:t xml:space="preserve">Arbeider som må utføres om vinteren.</w:t>
            </w:r>
          </w:p>
        </w:tc>
        <w:tc>
          <w:tcPr>
            <w:tcW w:type="dxa" w:w="5103"/>
            <w:tcBorders/>
            <w:hideMark/>
          </w:tcPr>
          <w:p>
            <w:pPr>
              <w:spacing/>
              <w:ind w:left="228"/>
              <w:rPr>
                <w:rFonts w:ascii="Arial" w:hAnsi="Arial" w:cs="Arial"/>
                <w:sz w:val="20"/>
                <w:szCs w:val="20"/>
              </w:rPr>
            </w:pPr>
            <w:r>
              <w:rPr>
                <w:rFonts w:ascii="Arial" w:hAnsi="Arial" w:cs="Arial"/>
                <w:sz w:val="20"/>
                <w:szCs w:val="20"/>
              </w:rPr>
              <w:t xml:space="preserve">Noen arbeidsoperasjoner tar lengre tid å utføre om vinteren. Vurder de forhold som har betydning for fremdrift/milepeler.</w:t>
            </w:r>
          </w:p>
          <w:p>
            <w:pPr>
              <w:spacing/>
              <w:ind w:left="228"/>
              <w:rPr>
                <w:rFonts w:ascii="Arial" w:hAnsi="Arial" w:cs="Arial"/>
                <w:b/>
                <w:sz w:val="20"/>
                <w:szCs w:val="20"/>
              </w:rPr>
            </w:pPr>
            <w:r>
              <w:rPr>
                <w:rFonts w:ascii="Arial" w:hAnsi="Arial" w:cs="Arial"/>
                <w:b/>
                <w:sz w:val="20"/>
                <w:szCs w:val="20"/>
              </w:rPr>
              <w:t xml:space="preserve"> </w:t>
            </w:r>
          </w:p>
          <w:p>
            <w:pPr>
              <w:spacing/>
              <w:ind w:left="228"/>
              <w:rPr>
                <w:rFonts w:ascii="Arial" w:hAnsi="Arial" w:cs="Arial"/>
                <w:b/>
                <w:bCs/>
                <w:i/>
                <w:iCs/>
                <w:sz w:val="18"/>
                <w:szCs w:val="18"/>
              </w:rPr>
            </w:pPr>
            <w:r>
              <w:rPr>
                <w:rFonts w:ascii="Arial" w:hAnsi="Arial" w:cs="Arial"/>
                <w:b/>
                <w:bCs/>
                <w:i/>
                <w:iCs/>
                <w:sz w:val="18"/>
                <w:szCs w:val="18"/>
              </w:rPr>
              <w:t xml:space="preserve">(Avklaringer som er gjort, samt forutsetninger som er lagt inn</w:t>
            </w:r>
            <w:r>
              <w:rPr>
                <w:rFonts w:ascii="Arial" w:hAnsi="Arial" w:cs="Arial"/>
                <w:b/>
                <w:bCs/>
                <w:i/>
                <w:iCs/>
                <w:sz w:val="18"/>
                <w:szCs w:val="18"/>
              </w:rPr>
              <w:t xml:space="preserve">,</w:t>
            </w:r>
            <w:r>
              <w:rPr>
                <w:rFonts w:ascii="Arial" w:hAnsi="Arial" w:cs="Arial"/>
                <w:b/>
                <w:bCs/>
                <w:i/>
                <w:iCs/>
                <w:sz w:val="18"/>
                <w:szCs w:val="18"/>
              </w:rPr>
              <w:t xml:space="preserve"> beskrives.)</w:t>
            </w:r>
          </w:p>
        </w:tc>
        <w:tc>
          <w:tcPr>
            <w:tcW w:type="dxa" w:w="6943"/>
            <w:tcBorders/>
          </w:tcPr>
          <w:p>
            <w:pPr>
              <w:spacing/>
              <w:ind w:left="228"/>
              <w:rPr>
                <w:rFonts w:ascii="Arial" w:hAnsi="Arial" w:cs="Arial"/>
                <w:sz w:val="20"/>
                <w:szCs w:val="20"/>
              </w:rPr>
            </w:pPr>
          </w:p>
        </w:tc>
      </w:tr>
    </w:tbl>
    <w:p w14:paraId="559669FA">
      <w:pPr>
        <w:spacing/>
        <w:rPr>
          <w:rFonts w:ascii="Arial" w:hAnsi="Arial" w:cs="Arial"/>
        </w:rPr>
      </w:pPr>
    </w:p>
    <w:p w14:paraId="066C9210">
      <w:pPr>
        <w:spacing/>
        <w:rPr>
          <w:rFonts w:ascii="Arial" w:hAnsi="Arial" w:cs="Arial"/>
        </w:rPr>
      </w:pPr>
    </w:p>
    <w:p w14:paraId="35B0472E">
      <w:pPr>
        <w:spacing/>
        <w:rPr/>
      </w:pPr>
    </w:p>
    <w:sectPr>
      <w:headerReference w:type="first" r:id="rId1"/>
      <w:headerReference w:type="default" r:id="rId2"/>
      <w:footerReference w:type="default" r:id="rId3"/>
      <w:type w:val="nextPage"/>
      <w:pgSz w:w="16838" w:h="11906" w:orient="landscape"/>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charset w:val="00"/>
    <w:family w:val="swiss"/>
    <w:pitch w:val="variable"/>
    <w:sig w:usb0="E0002EFF" w:usb1="C000785B" w:usb2="00000009" w:usb3="00000000" w:csb0="000001FF" w:csb1="00000000"/>
  </w:font>
  <w:font w:name="Calibri">
    <w:charset w:val="00"/>
    <w:family w:val="swiss"/>
    <w:pitch w:val="variable"/>
    <w:sig w:usb0="E4002EFF" w:usb1="C2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e4c4e499-5ba7-484d-91d5-2ed824a6de7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7002"/>
      <w:gridCol w:w="70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7002"/>
          <w:tcBorders/>
        </w:tcPr>
        <w:p>
          <w:pPr>
            <w:pStyle w:val="TQM_DocxPublishingHeaderDocumentInfoStyleName"/>
            <w:pBdr/>
            <w:spacing/>
            <w:rPr/>
          </w:pPr>
          <w:r>
            <w:rPr/>
            <w:t xml:space="preserve">19.09.2026 04:11:47 </w:t>
          </w:r>
        </w:p>
      </w:tc>
      <w:tc>
        <w:tcPr>
          <w:tcW w:type="dxa" w:w="7002"/>
          <w:tcBorders/>
        </w:tcPr>
        <w:p>
          <w:pPr>
            <w:pStyle w:val="TQM_DocxPublishingHeaderDocumentInfoStyleName"/>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28cc6513-c1ee-49f7-98ef-f8bbbd6664a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4"/>
      <w:gridCol w:w="4033"/>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4"/>
          <w:tcBorders/>
        </w:tcPr>
        <w:p>
          <w:pPr>
            <w:pStyle w:val="TQM_DocxPublishingHeaderDocumentIDStyleName"/>
            <w:pBdr/>
            <w:spacing w:after="40"/>
            <w:rPr/>
          </w:pPr>
          <w:r>
            <w:rPr/>
            <w:t xml:space="preserve">Dokument-ID: 2340. Versjonsnummer: 2</w:t>
          </w:r>
        </w:p>
        <w:p>
          <w:pPr>
            <w:pStyle w:val="TQM_DocxPublishingHeaderDocumentNameStyleName"/>
            <w:pBdr/>
            <w:spacing w:line="300" w:lineRule="exact"/>
            <w:rPr/>
          </w:pPr>
          <w:r>
            <w:rPr/>
            <w:t xml:space="preserve">Dokumentasjon av tilstrekkelig og forsvarlig byggetid</w:t>
          </w:r>
        </w:p>
      </w:tc>
      <w:tc>
        <w:tcPr>
          <w:tcW w:type="dxa" w:w="4033"/>
          <w:tcBorders/>
        </w:tcPr>
        <w:p>
          <w:pPr>
            <w:pStyle w:val="TQM_DocxPublishingHeaderDocumentNameStyleName"/>
            <w:pBdr/>
            <w:spacing w:line="600" w:lineRule="exact"/>
            <w:ind w:right="100"/>
            <w:jc w:val="right"/>
            <w:rPr/>
          </w:pPr>
          <w:r>
            <w:rPr/>
            <w:t xml:space="preserve">Oslobygg KF</w:t>
          </w:r>
        </w:p>
      </w:tc>
      <w:tc>
        <w:tcPr>
          <w:tcW w:type="dxa" w:w="1237"/>
          <w:tcBorders/>
          <w:vAlign w:val="center"/>
        </w:tcPr>
        <w:p>
          <w:pPr>
            <w:pStyle w:val="Normal_7ff6b33f-a1ad-4f2a-a78b-6e992340552f"/>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1" name="Picture 1"/>
                <a:graphic>
                  <a:graphicData uri="http://schemas.openxmlformats.org/drawingml/2006/picture">
                    <pic:pic>
                      <pic:nvPicPr>
                        <pic:cNvPr id="0" name="" descr=""/>
                        <pic:cNvPicPr>
                          <a:picLocks noChangeAspect="1" noChangeArrowheads="1"/>
                        </pic:cNvPicPr>
                      </pic:nvPicPr>
                      <pic:blipFill>
                        <a:blip r:embed="rId4"/>
                        <a:srcRect/>
                        <a:stretch>
                          <a:fillRect/>
                        </a:stretch>
                      </pic:blipFill>
                      <pic:spPr bwMode="auto">
                        <a:xfrm>
                          <a:off x="0" y="0"/>
                          <a:ext cx="522038" cy="355600"/>
                        </a:xfrm>
                        <a:prstGeom prst="rect">
                          <a:avLst/>
                        </a:prstGeom>
                      </pic:spPr>
                    </pic:pic>
                  </a:graphicData>
                </a:graphic>
              </wp:anchor>
            </w:drawing>
          </w:r>
        </w:p>
      </w:tc>
    </w:tr>
  </w:tbl>
  <w:p>
    <w:pPr>
      <w:pStyle w:val="Normal_7ff6b33f-a1ad-4f2a-a78b-6e992340552f"/>
      <w:pBdr/>
      <w:spacing w:before="20" w:after="20" w:line="20" w:lineRule="exact"/>
      <w:rPr/>
    </w:pPr>
  </w:p>
  <w:tbl>
    <w:tblPr>
      <w:tblStyle w:val="TableGrid_1fd4b7c5-7a00-4ac7-be2d-7a0571695d8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3"/>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3"/>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83684364-00c9-498d-aee5-f1531d963b21"/>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SHA+ / SHA i byggeprosjekter+ / 3. SHA - Dokumentasjon (SHA-Perm)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03.12.2025 (Bård Sigmund Dybsjord)</w:t>
                </w:r>
              </w:p>
            </w:tc>
          </w:tr>
        </w:tbl>
        <w:p>
          <w:pPr>
            <w:pStyle w:val="Normal_7ff6b33f-a1ad-4f2a-a78b-6e992340552f"/>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ec3f0bbd-08c8-42ca-af15-40e1cc7ecc96"/>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400"/>
                <w:tcBorders/>
                <w:noWrap/>
              </w:tcPr>
              <w:p>
                <w:pPr>
                  <w:pStyle w:val="TQM_DocxPublishingHeaderDocumentInfoStyleName"/>
                  <w:pBdr/>
                  <w:spacing/>
                  <w:rPr/>
                </w:pPr>
                <w:r>
                  <w:rPr/>
                  <w:t xml:space="preserve">Mal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400"/>
                <w:tcBorders/>
                <w:noWrap/>
              </w:tcPr>
              <w:p>
                <w:pPr>
                  <w:pStyle w:val="TQM_DocxPublishingHeaderDocumentInfoStyleName"/>
                  <w:pBdr/>
                  <w:spacing/>
                  <w:rPr/>
                </w:pPr>
                <w:r>
                  <w:rPr/>
                  <w:t xml:space="preserve">Bård Sigmund Dybsjord</w:t>
                </w:r>
              </w:p>
            </w:tc>
          </w:tr>
        </w:tbl>
        <w:p>
          <w:pPr>
            <w:pStyle w:val="Normal_7ff6b33f-a1ad-4f2a-a78b-6e992340552f"/>
            <w:pBdr/>
            <w:spacing/>
            <w:rPr/>
          </w:pPr>
        </w:p>
      </w:tc>
    </w:tr>
  </w:tbl>
  <w:p>
    <w:pPr>
      <w:pStyle w:val="Normal_7ff6b33f-a1ad-4f2a-a78b-6e992340552f"/>
      <w:pBdr/>
      <w:spacing w:before="40" w:after="40" w:line="40" w:lineRule="exact"/>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7167913f-26ae-4cce-9eb7-f54a2682ff3c"/>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4"/>
      <w:gridCol w:w="4033"/>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4"/>
          <w:tcBorders/>
        </w:tcPr>
        <w:p>
          <w:pPr>
            <w:pStyle w:val="TQM_DocxPublishingHeaderDocumentIDStyleName"/>
            <w:pBdr/>
            <w:spacing w:after="40"/>
            <w:rPr/>
          </w:pPr>
          <w:r>
            <w:rPr/>
            <w:t xml:space="preserve">Dokument-ID: 2340. Versjonsnummer: 2</w:t>
          </w:r>
        </w:p>
        <w:p>
          <w:pPr>
            <w:pStyle w:val="TQM_DocxPublishingHeaderDocumentNameStyleName"/>
            <w:pBdr/>
            <w:spacing w:line="300" w:lineRule="exact"/>
            <w:rPr/>
          </w:pPr>
          <w:r>
            <w:rPr/>
            <w:t xml:space="preserve">Dokumentasjon av tilstrekkelig og forsvarlig byggetid</w:t>
          </w:r>
        </w:p>
      </w:tc>
      <w:tc>
        <w:tcPr>
          <w:tcW w:type="dxa" w:w="4033"/>
          <w:tcBorders/>
        </w:tcPr>
        <w:p>
          <w:pPr>
            <w:pStyle w:val="TQM_DocxPublishingHeaderDocumentNameStyleName"/>
            <w:pBdr/>
            <w:spacing w:line="600" w:lineRule="exact"/>
            <w:ind w:right="100"/>
            <w:jc w:val="right"/>
            <w:rPr/>
          </w:pPr>
          <w:r>
            <w:rPr/>
            <w:t xml:space="preserve">Oslobygg KF</w:t>
          </w:r>
        </w:p>
      </w:tc>
      <w:tc>
        <w:tcPr>
          <w:tcW w:type="dxa" w:w="1237"/>
          <w:tcBorders/>
          <w:vAlign w:val="center"/>
        </w:tcPr>
        <w:p>
          <w:pPr>
            <w:pStyle w:val="Normal_7ff6b33f-a1ad-4f2a-a78b-6e992340552f"/>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7ff6b33f-a1ad-4f2a-a78b-6e992340552f"/>
      <w:pBdr/>
      <w:spacing w:before="20" w:after="20" w:line="20" w:lineRule="exact"/>
      <w:rPr/>
    </w:pPr>
  </w:p>
  <w:tbl>
    <w:tblPr>
      <w:tblStyle w:val="TableGrid_2a134b67-520f-4377-a1f6-4cfa6a6918d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3"/>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3"/>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6761c8c8-a203-4b09-8934-2ceb0fe00b0b"/>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Sted og prosess</w:t>
                </w:r>
              </w:p>
            </w:tc>
            <w:tc>
              <w:tcPr>
                <w:tcW w:type="dxa" w:w="3753"/>
                <w:tcBorders/>
                <w:noWrap/>
              </w:tcPr>
              <w:p>
                <w:pPr>
                  <w:pStyle w:val="TQM_DocxPublishingHeaderDocumentInfoStyleName"/>
                  <w:pBdr/>
                  <w:spacing/>
                  <w:rPr/>
                </w:pPr>
                <w:r>
                  <w:rPr/>
                  <w:t xml:space="preserve">Oslobygg / SHA+ / SHA i byggeprosjekter+ / 3. SHA - Dokumentasjon (SHA-Perm)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
                  <w:pBdr/>
                  <w:spacing/>
                  <w:rPr/>
                </w:pPr>
                <w:r>
                  <w:rPr>
                    <w:b/>
                  </w:rPr>
                  <w:t xml:space="preserve">Sist godkjent dato</w:t>
                </w:r>
              </w:p>
            </w:tc>
            <w:tc>
              <w:tcPr>
                <w:tcW w:type="dxa" w:w="3753"/>
                <w:tcBorders/>
                <w:noWrap/>
              </w:tcPr>
              <w:p>
                <w:pPr>
                  <w:pStyle w:val="TQM_DocxPublishingHeaderDocumentInfoStyleName"/>
                  <w:pBdr/>
                  <w:spacing/>
                  <w:rPr/>
                </w:pPr>
                <w:r>
                  <w:rPr/>
                  <w:t xml:space="preserve">03.12.2025 (Bård Sigmund Dybsjord)</w:t>
                </w:r>
              </w:p>
            </w:tc>
          </w:tr>
        </w:tbl>
        <w:p>
          <w:pPr>
            <w:pStyle w:val="Normal_7ff6b33f-a1ad-4f2a-a78b-6e992340552f"/>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49413fe1-d994-4d53-b607-28898ec2a8a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Dokumentkategori</w:t>
                </w:r>
              </w:p>
            </w:tc>
            <w:tc>
              <w:tcPr>
                <w:tcW w:type="dxa" w:w="1400"/>
                <w:tcBorders/>
                <w:noWrap/>
              </w:tcPr>
              <w:p>
                <w:pPr>
                  <w:pStyle w:val="TQM_DocxPublishingHeaderDocumentInfoStyleName"/>
                  <w:pBdr/>
                  <w:spacing/>
                  <w:rPr/>
                </w:pPr>
                <w:r>
                  <w:rPr/>
                  <w:t xml:space="preserve">Mal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
                  <w:pBdr/>
                  <w:spacing/>
                  <w:rPr/>
                </w:pPr>
                <w:r>
                  <w:rPr>
                    <w:b/>
                  </w:rPr>
                  <w:t xml:space="preserve">Dokumentansvarlig</w:t>
                </w:r>
              </w:p>
            </w:tc>
            <w:tc>
              <w:tcPr>
                <w:tcW w:type="dxa" w:w="1400"/>
                <w:tcBorders/>
                <w:noWrap/>
              </w:tcPr>
              <w:p>
                <w:pPr>
                  <w:pStyle w:val="TQM_DocxPublishingHeaderDocumentInfoStyleName"/>
                  <w:pBdr/>
                  <w:spacing/>
                  <w:rPr/>
                </w:pPr>
                <w:r>
                  <w:rPr/>
                  <w:t xml:space="preserve">Bård Sigmund Dybsjord</w:t>
                </w:r>
              </w:p>
            </w:tc>
          </w:tr>
        </w:tbl>
        <w:p>
          <w:pPr>
            <w:pStyle w:val="Normal_7ff6b33f-a1ad-4f2a-a78b-6e992340552f"/>
            <w:pBdr/>
            <w:spacing/>
            <w:rPr/>
          </w:pPr>
        </w:p>
      </w:tc>
    </w:tr>
  </w:tbl>
  <w:p>
    <w:pPr>
      <w:pStyle w:val="Normal_7ff6b33f-a1ad-4f2a-a78b-6e992340552f"/>
      <w:pBdr/>
      <w:spacing w:before="40" w:after="40" w:line="40" w:lineRule="exac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kern w:val="2"/>
        <w:sz w:val="22"/>
        <w:szCs w:val="22"/>
        <w:lang w:val="nb-NO" w:eastAsia="en-US" w:bidi="ar-SA"/>
        <w14:ligatures w14:val="standardContextual"/>
      </w:rPr>
    </w:rPrDefault>
    <w:pPrDefault>
      <w:pPr>
        <w:spacing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style>
  <w:style w:type="paragraph" w:styleId="Overskrift1">
    <w:name w:val="Heading 1"/>
    <w:basedOn w:val="Normal"/>
    <w:next w:val="Normal"/>
    <w:link w:val="Overskrift1Tegn"/>
    <w:uiPriority w:val="9"/>
    <w:qFormat/>
    <w:pPr>
      <w:keepNext/>
      <w:keepLines/>
      <w:spacing w:before="360" w:after="80"/>
      <w:outlineLvl w:val="0"/>
    </w:pPr>
    <w:rPr>
      <w:rFonts w:asciiTheme="majorHAnsi" w:hAnsiTheme="majorHAnsi" w:eastAsiaTheme="majorEastAsia" w:cstheme="majorBidi"/>
      <w:color w:val="0F4761"/>
      <w:sz w:val="40"/>
      <w:szCs w:val="40"/>
    </w:rPr>
  </w:style>
  <w:style w:type="paragraph" w:styleId="Overskrift2">
    <w:name w:val="Heading 2"/>
    <w:basedOn w:val="Normal"/>
    <w:next w:val="Normal"/>
    <w:link w:val="Overskrift2Tegn"/>
    <w:uiPriority w:val="9"/>
    <w:semiHidden/>
    <w:unhideWhenUsed/>
    <w:qFormat/>
    <w:pPr>
      <w:keepNext/>
      <w:keepLines/>
      <w:spacing w:before="160" w:after="80"/>
      <w:outlineLvl w:val="1"/>
    </w:pPr>
    <w:rPr>
      <w:rFonts w:asciiTheme="majorHAnsi" w:hAnsiTheme="majorHAnsi" w:eastAsiaTheme="majorEastAsia" w:cstheme="majorBidi"/>
      <w:color w:val="0F4761"/>
      <w:sz w:val="32"/>
      <w:szCs w:val="32"/>
    </w:rPr>
  </w:style>
  <w:style w:type="paragraph" w:styleId="Overskrift3">
    <w:name w:val="Heading 3"/>
    <w:basedOn w:val="Normal"/>
    <w:next w:val="Normal"/>
    <w:link w:val="Overskrift3Tegn"/>
    <w:uiPriority w:val="9"/>
    <w:semiHidden/>
    <w:unhideWhenUsed/>
    <w:qFormat/>
    <w:pPr>
      <w:keepNext/>
      <w:keepLines/>
      <w:spacing w:before="160" w:after="80"/>
      <w:outlineLvl w:val="2"/>
    </w:pPr>
    <w:rPr>
      <w:rFonts w:eastAsiaTheme="majorEastAsia" w:cstheme="majorBidi"/>
      <w:color w:val="0F4761"/>
      <w:sz w:val="28"/>
      <w:szCs w:val="28"/>
    </w:rPr>
  </w:style>
  <w:style w:type="paragraph" w:styleId="Overskrift4">
    <w:name w:val="Heading 4"/>
    <w:basedOn w:val="Normal"/>
    <w:next w:val="Normal"/>
    <w:link w:val="Overskrift4Tegn"/>
    <w:uiPriority w:val="9"/>
    <w:semiHidden/>
    <w:unhideWhenUsed/>
    <w:qFormat/>
    <w:pPr>
      <w:keepNext/>
      <w:keepLines/>
      <w:spacing w:before="80" w:after="40"/>
      <w:outlineLvl w:val="3"/>
    </w:pPr>
    <w:rPr>
      <w:rFonts w:eastAsiaTheme="majorEastAsia" w:cstheme="majorBidi"/>
      <w:i/>
      <w:iCs/>
      <w:color w:val="0F4761"/>
    </w:rPr>
  </w:style>
  <w:style w:type="paragraph" w:styleId="Overskrift5">
    <w:name w:val="Heading 5"/>
    <w:basedOn w:val="Normal"/>
    <w:next w:val="Normal"/>
    <w:link w:val="Overskrift5Tegn"/>
    <w:uiPriority w:val="9"/>
    <w:semiHidden/>
    <w:unhideWhenUsed/>
    <w:qFormat/>
    <w:pPr>
      <w:keepNext/>
      <w:keepLines/>
      <w:spacing w:before="80" w:after="40"/>
      <w:outlineLvl w:val="4"/>
    </w:pPr>
    <w:rPr>
      <w:rFonts w:eastAsiaTheme="majorEastAsia" w:cstheme="majorBidi"/>
      <w:color w:val="0F4761"/>
    </w:rPr>
  </w:style>
  <w:style w:type="paragraph" w:styleId="Overskrift6">
    <w:name w:val="Heading 6"/>
    <w:basedOn w:val="Normal"/>
    <w:next w:val="Normal"/>
    <w:link w:val="Overskrift6Tegn"/>
    <w:uiPriority w:val="9"/>
    <w:semiHidden/>
    <w:unhideWhenUsed/>
    <w:qFormat/>
    <w:pPr>
      <w:keepNext/>
      <w:keepLines/>
      <w:spacing w:before="40"/>
      <w:outlineLvl w:val="5"/>
    </w:pPr>
    <w:rPr>
      <w:rFonts w:eastAsiaTheme="majorEastAsia" w:cstheme="majorBidi"/>
      <w:i/>
      <w:iCs/>
      <w:color w:val="595959"/>
    </w:rPr>
  </w:style>
  <w:style w:type="paragraph" w:styleId="Overskrift7">
    <w:name w:val="Heading 7"/>
    <w:basedOn w:val="Normal"/>
    <w:next w:val="Normal"/>
    <w:link w:val="Overskrift7Tegn"/>
    <w:uiPriority w:val="9"/>
    <w:semiHidden/>
    <w:unhideWhenUsed/>
    <w:qFormat/>
    <w:pPr>
      <w:keepNext/>
      <w:keepLines/>
      <w:spacing w:before="40"/>
      <w:outlineLvl w:val="6"/>
    </w:pPr>
    <w:rPr>
      <w:rFonts w:eastAsiaTheme="majorEastAsia" w:cstheme="majorBidi"/>
      <w:color w:val="595959"/>
    </w:rPr>
  </w:style>
  <w:style w:type="paragraph" w:styleId="Overskrift8">
    <w:name w:val="Heading 8"/>
    <w:basedOn w:val="Normal"/>
    <w:next w:val="Normal"/>
    <w:link w:val="Overskrift8Tegn"/>
    <w:uiPriority w:val="9"/>
    <w:semiHidden/>
    <w:unhideWhenUsed/>
    <w:qFormat/>
    <w:pPr>
      <w:keepNext/>
      <w:keepLines/>
      <w:spacing/>
      <w:outlineLvl w:val="7"/>
    </w:pPr>
    <w:rPr>
      <w:rFonts w:eastAsiaTheme="majorEastAsia" w:cstheme="majorBidi"/>
      <w:i/>
      <w:iCs/>
      <w:color w:val="272727"/>
    </w:rPr>
  </w:style>
  <w:style w:type="paragraph" w:styleId="Overskrift9">
    <w:name w:val="Heading 9"/>
    <w:basedOn w:val="Normal"/>
    <w:next w:val="Normal"/>
    <w:link w:val="Overskrift9Tegn"/>
    <w:uiPriority w:val="9"/>
    <w:semiHidden/>
    <w:unhideWhenUsed/>
    <w:qFormat/>
    <w:pPr>
      <w:keepNext/>
      <w:keepLines/>
      <w:spacing/>
      <w:outlineLvl w:val="8"/>
    </w:pPr>
    <w:rPr>
      <w:rFonts w:eastAsiaTheme="majorEastAsia" w:cstheme="majorBidi"/>
      <w:color w:val="272727"/>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character" w:styleId="Overskrift1Tegn" w:customStyle="1">
    <w:name w:val="Overskrift 1 Tegn"/>
    <w:basedOn w:val="Standardskriftforavsnitt"/>
    <w:link w:val="Heading1"/>
    <w:uiPriority w:val="9"/>
    <w:rPr>
      <w:rFonts w:asciiTheme="majorHAnsi" w:hAnsiTheme="majorHAnsi" w:eastAsiaTheme="majorEastAsia" w:cstheme="majorBidi"/>
      <w:color w:val="0F4761"/>
      <w:sz w:val="40"/>
      <w:szCs w:val="40"/>
    </w:rPr>
  </w:style>
  <w:style w:type="character" w:styleId="Overskrift2Tegn" w:customStyle="1">
    <w:name w:val="Overskrift 2 Tegn"/>
    <w:basedOn w:val="Standardskriftforavsnitt"/>
    <w:link w:val="Heading2"/>
    <w:uiPriority w:val="9"/>
    <w:semiHidden/>
    <w:rPr>
      <w:rFonts w:asciiTheme="majorHAnsi" w:hAnsiTheme="majorHAnsi" w:eastAsiaTheme="majorEastAsia" w:cstheme="majorBidi"/>
      <w:color w:val="0F4761"/>
      <w:sz w:val="32"/>
      <w:szCs w:val="32"/>
    </w:rPr>
  </w:style>
  <w:style w:type="character" w:styleId="Overskrift3Tegn" w:customStyle="1">
    <w:name w:val="Overskrift 3 Tegn"/>
    <w:basedOn w:val="Standardskriftforavsnitt"/>
    <w:link w:val="Heading3"/>
    <w:uiPriority w:val="9"/>
    <w:semiHidden/>
    <w:rPr>
      <w:rFonts w:eastAsiaTheme="majorEastAsia" w:cstheme="majorBidi"/>
      <w:color w:val="0F4761"/>
      <w:sz w:val="28"/>
      <w:szCs w:val="28"/>
    </w:rPr>
  </w:style>
  <w:style w:type="character" w:styleId="Overskrift4Tegn" w:customStyle="1">
    <w:name w:val="Overskrift 4 Tegn"/>
    <w:basedOn w:val="Standardskriftforavsnitt"/>
    <w:link w:val="Heading4"/>
    <w:uiPriority w:val="9"/>
    <w:semiHidden/>
    <w:rPr>
      <w:rFonts w:eastAsiaTheme="majorEastAsia" w:cstheme="majorBidi"/>
      <w:i/>
      <w:iCs/>
      <w:color w:val="0F4761"/>
    </w:rPr>
  </w:style>
  <w:style w:type="character" w:styleId="Overskrift5Tegn" w:customStyle="1">
    <w:name w:val="Overskrift 5 Tegn"/>
    <w:basedOn w:val="Standardskriftforavsnitt"/>
    <w:link w:val="Heading5"/>
    <w:uiPriority w:val="9"/>
    <w:semiHidden/>
    <w:rPr>
      <w:rFonts w:eastAsiaTheme="majorEastAsia" w:cstheme="majorBidi"/>
      <w:color w:val="0F4761"/>
    </w:rPr>
  </w:style>
  <w:style w:type="character" w:styleId="Overskrift6Tegn" w:customStyle="1">
    <w:name w:val="Overskrift 6 Tegn"/>
    <w:basedOn w:val="Standardskriftforavsnitt"/>
    <w:link w:val="Heading6"/>
    <w:uiPriority w:val="9"/>
    <w:semiHidden/>
    <w:rPr>
      <w:rFonts w:eastAsiaTheme="majorEastAsia" w:cstheme="majorBidi"/>
      <w:i/>
      <w:iCs/>
      <w:color w:val="595959"/>
    </w:rPr>
  </w:style>
  <w:style w:type="character" w:styleId="Overskrift7Tegn" w:customStyle="1">
    <w:name w:val="Overskrift 7 Tegn"/>
    <w:basedOn w:val="Standardskriftforavsnitt"/>
    <w:link w:val="Heading7"/>
    <w:uiPriority w:val="9"/>
    <w:semiHidden/>
    <w:rPr>
      <w:rFonts w:eastAsiaTheme="majorEastAsia" w:cstheme="majorBidi"/>
      <w:color w:val="595959"/>
    </w:rPr>
  </w:style>
  <w:style w:type="character" w:styleId="Overskrift8Tegn" w:customStyle="1">
    <w:name w:val="Overskrift 8 Tegn"/>
    <w:basedOn w:val="Standardskriftforavsnitt"/>
    <w:link w:val="Heading8"/>
    <w:uiPriority w:val="9"/>
    <w:semiHidden/>
    <w:rPr>
      <w:rFonts w:eastAsiaTheme="majorEastAsia" w:cstheme="majorBidi"/>
      <w:i/>
      <w:iCs/>
      <w:color w:val="272727"/>
    </w:rPr>
  </w:style>
  <w:style w:type="character" w:styleId="Overskrift9Tegn" w:customStyle="1">
    <w:name w:val="Overskrift 9 Tegn"/>
    <w:basedOn w:val="Standardskriftforavsnitt"/>
    <w:link w:val="Heading9"/>
    <w:uiPriority w:val="9"/>
    <w:semiHidden/>
    <w:rPr>
      <w:rFonts w:eastAsiaTheme="majorEastAsia" w:cstheme="majorBidi"/>
      <w:color w:val="272727"/>
    </w:rPr>
  </w:style>
  <w:style w:type="paragraph" w:styleId="Tittel">
    <w:name w:val="Title"/>
    <w:basedOn w:val="Normal"/>
    <w:next w:val="Normal"/>
    <w:link w:val="TittelTegn"/>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le"/>
    <w:uiPriority w:val="10"/>
    <w:rPr>
      <w:rFonts w:asciiTheme="majorHAnsi" w:hAnsiTheme="majorHAnsi" w:eastAsiaTheme="majorEastAsia" w:cstheme="majorBidi"/>
      <w:sz w:val="56"/>
      <w:szCs w:val="56"/>
    </w:rPr>
  </w:style>
  <w:style w:type="paragraph" w:styleId="Undertittel">
    <w:name w:val="Subtitle"/>
    <w:basedOn w:val="Normal"/>
    <w:next w:val="Normal"/>
    <w:link w:val="UndertittelTegn"/>
    <w:uiPriority w:val="11"/>
    <w:qFormat/>
    <w:numPr>
      <w:ilvl w:val="1"/>
    </w:numPr>
    <w:pPr>
      <w:numPr>
        <w:ilvl w:val="1"/>
      </w:numPr>
      <w:spacing w:after="160"/>
    </w:pPr>
    <w:rPr>
      <w:rFonts w:eastAsiaTheme="majorEastAsia" w:cstheme="majorBidi"/>
      <w:color w:val="595959"/>
      <w:spacing w:val="15"/>
      <w:sz w:val="28"/>
      <w:szCs w:val="28"/>
    </w:rPr>
  </w:style>
  <w:style w:type="character" w:styleId="UndertittelTegn" w:customStyle="1">
    <w:name w:val="Undertittel Tegn"/>
    <w:basedOn w:val="Standardskriftforavsnitt"/>
    <w:link w:val="Subtitle"/>
    <w:uiPriority w:val="11"/>
    <w:rPr>
      <w:rFonts w:eastAsiaTheme="majorEastAsia" w:cstheme="majorBidi"/>
      <w:color w:val="595959"/>
      <w:sz w:val="28"/>
      <w:szCs w:val="28"/>
    </w:rPr>
  </w:style>
  <w:style w:type="paragraph" w:styleId="Sitat">
    <w:name w:val="Quote"/>
    <w:basedOn w:val="Normal"/>
    <w:next w:val="Normal"/>
    <w:link w:val="SitatTegn"/>
    <w:uiPriority w:val="29"/>
    <w:qFormat/>
    <w:pPr>
      <w:spacing w:before="160" w:after="160"/>
      <w:jc w:val="center"/>
    </w:pPr>
    <w:rPr>
      <w:i/>
      <w:iCs/>
      <w:color w:val="404040"/>
    </w:rPr>
  </w:style>
  <w:style w:type="character" w:styleId="SitatTegn" w:customStyle="1">
    <w:name w:val="Sitat Tegn"/>
    <w:basedOn w:val="Standardskriftforavsnitt"/>
    <w:link w:val="Quote"/>
    <w:uiPriority w:val="29"/>
    <w:rPr>
      <w:i/>
      <w:iCs/>
      <w:color w:val="404040"/>
    </w:rPr>
  </w:style>
  <w:style w:type="paragraph" w:styleId="Listeavsnitt">
    <w:name w:val="List Paragraph"/>
    <w:basedOn w:val="Normal"/>
    <w:uiPriority w:val="34"/>
    <w:qFormat/>
    <w:pPr>
      <w:spacing/>
      <w:ind w:left="720"/>
      <w:contextualSpacing/>
    </w:pPr>
    <w:rPr/>
  </w:style>
  <w:style w:type="character" w:styleId="Sterkutheving" w:customStyle="1">
    <w:name w:val="Intense Emphasis"/>
    <w:basedOn w:val="Standardskriftforavsnitt"/>
    <w:uiPriority w:val="21"/>
    <w:qFormat/>
    <w:rPr>
      <w:i/>
      <w:iCs/>
      <w:color w:val="0F4761"/>
    </w:rPr>
  </w:style>
  <w:style w:type="paragraph" w:styleId="Sterktsitat" w:customStyle="1">
    <w:name w:val="Intense Quote"/>
    <w:basedOn w:val="Normal"/>
    <w:next w:val="Normal"/>
    <w:link w:val="SterktsitatTegn"/>
    <w:uiPriority w:val="30"/>
    <w:qFormat/>
    <w:pPr>
      <w:pBdr>
        <w:top w:val="single" w:color="0F4761" w:sz="4" w:space="10"/>
        <w:bottom w:val="single" w:color="0F4761" w:sz="4" w:space="10"/>
      </w:pBdr>
      <w:spacing w:before="360" w:after="360"/>
      <w:ind w:left="864" w:right="864"/>
      <w:jc w:val="center"/>
    </w:pPr>
    <w:rPr>
      <w:i/>
      <w:iCs/>
      <w:color w:val="0F4761"/>
    </w:rPr>
  </w:style>
  <w:style w:type="character" w:styleId="SterktsitatTegn" w:customStyle="1">
    <w:name w:val="Sterkt sitat Tegn"/>
    <w:basedOn w:val="Standardskriftforavsnitt"/>
    <w:link w:val="IntenseQuote"/>
    <w:uiPriority w:val="30"/>
    <w:rPr>
      <w:i/>
      <w:iCs/>
      <w:color w:val="0F4761"/>
    </w:rPr>
  </w:style>
  <w:style w:type="character" w:styleId="Sterkreferanse" w:customStyle="1">
    <w:name w:val="Intense Reference"/>
    <w:basedOn w:val="Standardskriftforavsnitt"/>
    <w:uiPriority w:val="32"/>
    <w:qFormat/>
    <w:rPr>
      <w:b/>
      <w:bCs/>
      <w:smallCaps/>
      <w:color w:val="0F4761"/>
    </w:rPr>
  </w:style>
  <w:style w:type="character" w:styleId="Hyperkobling">
    <w:name w:val="Hyperlink"/>
    <w:basedOn w:val="Standardskriftforavsnitt"/>
    <w:uiPriority w:val="99"/>
    <w:unhideWhenUsed/>
    <w:rPr>
      <w:color w:val="467886"/>
      <w:u w:val="single"/>
    </w:rPr>
  </w:style>
  <w:style w:type="table" w:styleId="Tabellrutenett">
    <w:name w:val="Table Grid"/>
    <w:basedOn w:val="Vanligtabell"/>
    <w:uiPriority w:val="59"/>
    <w:pPr>
      <w:spacing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Ulstomtale" w:customStyle="1">
    <w:name w:val="Unresolved Mention"/>
    <w:basedOn w:val="Standardskriftforavsnitt"/>
    <w:uiPriority w:val="99"/>
    <w:semiHidden/>
    <w:unhideWhenUsed/>
    <w:rPr>
      <w:color w:val="605E5C"/>
      <w:shd w:val="clear" w:color="auto" w:fill="E1DFDD"/>
    </w:rPr>
  </w:style>
  <w:style w:type="paragraph" w:styleId="Normal_7ff6b33f-a1ad-4f2a-a78b-6e992340552f" w:customStyle="1">
    <w:name w:val="Normal_7ff6b33f-a1ad-4f2a-a78b-6e992340552f"/>
    <w:qFormat/>
    <w:pPr>
      <w:pBdr/>
      <w:spacing/>
      <w:ind w:left="0" w:right="0" w:firstLine="0"/>
    </w:pPr>
    <w:rPr>
      <w:rFonts w:ascii="Oslo Sans Office" w:hAnsi="Oslo Sans Office" w:eastAsia="Oslo Sans Office" w:cs="Oslo Sans Office"/>
      <w:sz w:val="20"/>
    </w:rPr>
  </w:style>
  <w:style w:type="paragraph" w:styleId="TQM_DocxPublishingHeaderDocumentInfoStyleName" w:customStyle="1">
    <w:name w:val="TQM_DocxPublishingHeaderDocumentInfoStyleName"/>
    <w:basedOn w:val="Normal_7ff6b33f-a1ad-4f2a-a78b-6e992340552f"/>
    <w:pPr>
      <w:pBdr/>
      <w:spacing w:before="0" w:after="0" w:line="200" w:lineRule="exact"/>
      <w:ind w:left="0" w:right="0" w:firstLine="0"/>
    </w:pPr>
    <w:rPr>
      <w:rFonts w:ascii="Oslo Sans Office" w:hAnsi="Oslo Sans Office" w:eastAsia="Oslo Sans Office" w:cs="Oslo Sans Office"/>
      <w:sz w:val="12"/>
    </w:rPr>
  </w:style>
  <w:style w:type="table" w:styleId="NormalTable_b04c5a42-7ba9-492e-9889-dbc1c1973348" w:customStyle="1">
    <w:name w:val="Normal Table_b04c5a42-7ba9-492e-9889-dbc1c1973348"/>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e10deae-c790-416a-acc1-e101058d83f0" w:customStyle="1">
    <w:name w:val="Table Grid_5e10deae-c790-416a-acc1-e101058d83f0"/>
    <w:basedOn w:val="NormalTable_b04c5a42-7ba9-492e-9889-dbc1c1973348"/>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 w:customStyle="1">
    <w:name w:val="TQM_DocxPublishingHeaderDocumentIDStyleName"/>
    <w:basedOn w:val="Normal_7ff6b33f-a1ad-4f2a-a78b-6e992340552f"/>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 w:customStyle="1">
    <w:name w:val="TQM_DocxPublishingHeaderDocumentNameStyleName"/>
    <w:basedOn w:val="Normal_7ff6b33f-a1ad-4f2a-a78b-6e992340552f"/>
    <w:pPr>
      <w:pBdr/>
      <w:spacing w:before="0" w:after="0" w:line="200" w:lineRule="exact"/>
      <w:ind w:left="0" w:right="0" w:firstLine="0"/>
    </w:pPr>
    <w:rPr>
      <w:rFonts w:ascii="Oslo Sans Office" w:hAnsi="Oslo Sans Office" w:eastAsia="Oslo Sans Office" w:cs="Oslo Sans Office"/>
      <w:sz w:val="24"/>
    </w:rPr>
  </w:style>
  <w:style w:type="table" w:styleId="NormalTable_b7d08c3a-240d-460f-acf6-cd0df3687132" w:customStyle="1">
    <w:name w:val="Normal Table_b7d08c3a-240d-460f-acf6-cd0df368713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af56dcaf-7c12-40ac-9f11-d8595e33522b" w:customStyle="1">
    <w:name w:val="Table Grid_af56dcaf-7c12-40ac-9f11-d8595e33522b"/>
    <w:basedOn w:val="NormalTable_b7d08c3a-240d-460f-acf6-cd0df368713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8e9ed66-5050-4892-bc82-1d7f0b3f4a51" w:customStyle="1">
    <w:name w:val="Normal Table_78e9ed66-5050-4892-bc82-1d7f0b3f4a51"/>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e843571-1616-49a0-aac5-0232306e2501" w:customStyle="1">
    <w:name w:val="Table Grid_1e843571-1616-49a0-aac5-0232306e2501"/>
    <w:basedOn w:val="NormalTable_78e9ed66-5050-4892-bc82-1d7f0b3f4a51"/>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d9a3d649-a3b7-4c3d-83b9-1d0892b33a76" w:customStyle="1">
    <w:name w:val="Normal Table_d9a3d649-a3b7-4c3d-83b9-1d0892b33a76"/>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dd0f9d5-f8af-41e1-8559-888c1b6eba22" w:customStyle="1">
    <w:name w:val="Table Grid_5dd0f9d5-f8af-41e1-8559-888c1b6eba22"/>
    <w:basedOn w:val="NormalTable_d9a3d649-a3b7-4c3d-83b9-1d0892b33a76"/>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9df0408a-687a-48c0-be8b-337b40dcc8cf" w:customStyle="1">
    <w:name w:val="Normal Table_9df0408a-687a-48c0-be8b-337b40dcc8c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9705377-d12e-44ec-973f-bce151390cef" w:customStyle="1">
    <w:name w:val="Table Grid_19705377-d12e-44ec-973f-bce151390cef"/>
    <w:basedOn w:val="NormalTable_9df0408a-687a-48c0-be8b-337b40dcc8c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bd6ae9f2-665c-4998-a22a-50abee3a70e4" w:customStyle="1">
    <w:name w:val="Normal Table_bd6ae9f2-665c-4998-a22a-50abee3a70e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4c4e499-5ba7-484d-91d5-2ed824a6de75" w:customStyle="1">
    <w:name w:val="Table Grid_e4c4e499-5ba7-484d-91d5-2ed824a6de75"/>
    <w:basedOn w:val="NormalTable_bd6ae9f2-665c-4998-a22a-50abee3a70e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0d28d217-7fcd-4dc3-b2da-92b0530f97ee" w:customStyle="1">
    <w:name w:val="Normal Table_0d28d217-7fcd-4dc3-b2da-92b0530f97e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7167913f-26ae-4cce-9eb7-f54a2682ff3c" w:customStyle="1">
    <w:name w:val="Table Grid_7167913f-26ae-4cce-9eb7-f54a2682ff3c"/>
    <w:basedOn w:val="NormalTable_0d28d217-7fcd-4dc3-b2da-92b0530f97e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1ccd7207-932d-4519-8150-68e51892b534" w:customStyle="1">
    <w:name w:val="Normal Table_1ccd7207-932d-4519-8150-68e51892b53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6761c8c8-a203-4b09-8934-2ceb0fe00b0b" w:customStyle="1">
    <w:name w:val="Table Grid_6761c8c8-a203-4b09-8934-2ceb0fe00b0b"/>
    <w:basedOn w:val="NormalTable_1ccd7207-932d-4519-8150-68e51892b53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436ac7d9-3125-4595-adfd-4e4c400019cf" w:customStyle="1">
    <w:name w:val="Normal Table_436ac7d9-3125-4595-adfd-4e4c400019c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49413fe1-d994-4d53-b607-28898ec2a8a5" w:customStyle="1">
    <w:name w:val="Table Grid_49413fe1-d994-4d53-b607-28898ec2a8a5"/>
    <w:basedOn w:val="NormalTable_436ac7d9-3125-4595-adfd-4e4c400019c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93e91ae-d90c-4162-8fd4-805673c562d2" w:customStyle="1">
    <w:name w:val="Normal Table_393e91ae-d90c-4162-8fd4-805673c562d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a134b67-520f-4377-a1f6-4cfa6a6918dd" w:customStyle="1">
    <w:name w:val="Table Grid_2a134b67-520f-4377-a1f6-4cfa6a6918dd"/>
    <w:basedOn w:val="NormalTable_393e91ae-d90c-4162-8fd4-805673c562d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eec5d0df-62cc-4478-b8db-cff906f6a032" w:customStyle="1">
    <w:name w:val="Normal Table_eec5d0df-62cc-4478-b8db-cff906f6a03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8cc6513-c1ee-49f7-98ef-f8bbbd6664a5" w:customStyle="1">
    <w:name w:val="Table Grid_28cc6513-c1ee-49f7-98ef-f8bbbd6664a5"/>
    <w:basedOn w:val="NormalTable_eec5d0df-62cc-4478-b8db-cff906f6a03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fa435ccd-4304-42f1-b2a4-abe4b71c01b4" w:customStyle="1">
    <w:name w:val="Normal Table_fa435ccd-4304-42f1-b2a4-abe4b71c01b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3684364-00c9-498d-aee5-f1531d963b21" w:customStyle="1">
    <w:name w:val="Table Grid_83684364-00c9-498d-aee5-f1531d963b21"/>
    <w:basedOn w:val="NormalTable_fa435ccd-4304-42f1-b2a4-abe4b71c01b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0610741-23ff-4c3a-91e0-4fe7a3f0cd3a" w:customStyle="1">
    <w:name w:val="Normal Table_20610741-23ff-4c3a-91e0-4fe7a3f0cd3a"/>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c3f0bbd-08c8-42ca-af15-40e1cc7ecc96" w:customStyle="1">
    <w:name w:val="Table Grid_ec3f0bbd-08c8-42ca-af15-40e1cc7ecc96"/>
    <w:basedOn w:val="NormalTable_20610741-23ff-4c3a-91e0-4fe7a3f0cd3a"/>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1c7d5b3f-b4dd-4f03-86ba-ec4892268c7b" w:customStyle="1">
    <w:name w:val="Normal Table_1c7d5b3f-b4dd-4f03-86ba-ec4892268c7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fd4b7c5-7a00-4ac7-be2d-7a0571695d8d" w:customStyle="1">
    <w:name w:val="Table Grid_1fd4b7c5-7a00-4ac7-be2d-7a0571695d8d"/>
    <w:basedOn w:val="NormalTable_1c7d5b3f-b4dd-4f03-86ba-ec4892268c7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theme" Target="theme/theme1.xml" /><Relationship Id="rId1" Type="http://schemas.openxmlformats.org/officeDocument/2006/relationships/header" Target="header1.xml" /><Relationship Id="rId3" Type="http://schemas.openxmlformats.org/officeDocument/2006/relationships/footer" Target="footer3.xml" /><Relationship Id="rId2" Type="http://schemas.openxmlformats.org/officeDocument/2006/relationships/header" Target="header2.xml" /><Relationship Id="rId9" Type="http://schemas.openxmlformats.org/officeDocument/2006/relationships/fontTable" Target="fontTable.xml" /><Relationship Id="rId10" Type="http://schemas.openxmlformats.org/officeDocument/2006/relationships/customXml" Target="../customXml/item1.xml" /><Relationship Id="rId11" Type="http://schemas.openxmlformats.org/officeDocument/2006/relationships/customXml" Target="../customXml/item2.xml" /><Relationship Id="rId12" Type="http://schemas.openxmlformats.org/officeDocument/2006/relationships/customXml" Target="../customXml/item3.xml" /></Relationships>
</file>

<file path=word/_rels/header1.xml.rels>&#65279;<?xml version="1.0" encoding="utf-8" standalone="yes"?><Relationships xmlns="http://schemas.openxmlformats.org/package/2006/relationships"><Relationship Id="rId4" Type="http://schemas.openxmlformats.org/officeDocument/2006/relationships/image" Target="media/image1.jpeg" /></Relationships>
</file>

<file path=word/_rels/header2.xml.rels>&#65279;<?xml version="1.0" encoding="utf-8" standalone="yes"?><Relationships xmlns="http://schemas.openxmlformats.org/package/2006/relationships"><Relationship Id="rId5"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630276-0c52-4089-af91-d2ab2b117ff4" xsi:nil="true"/>
    <lcf76f155ced4ddcb4097134ff3c332f xmlns="3bfcbd39-c008-4230-a579-9739f1d913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38B666B71CE564FA5070EC1CB15A64B" ma:contentTypeVersion="15" ma:contentTypeDescription="Opprett et nytt dokument." ma:contentTypeScope="" ma:versionID="2ab10d1c5c329bcb318d11a7661d3132">
  <xsd:schema xmlns:xsd="http://www.w3.org/2001/XMLSchema" xmlns:xs="http://www.w3.org/2001/XMLSchema" xmlns:p="http://schemas.microsoft.com/office/2006/metadata/properties" xmlns:ns2="3bfcbd39-c008-4230-a579-9739f1d913db" xmlns:ns3="5b630276-0c52-4089-af91-d2ab2b117ff4" targetNamespace="http://schemas.microsoft.com/office/2006/metadata/properties" ma:root="true" ma:fieldsID="16a5353791d9f4b63f2b6f7724e8d9a9" ns2:_="" ns3:_="">
    <xsd:import namespace="3bfcbd39-c008-4230-a579-9739f1d913db"/>
    <xsd:import namespace="5b630276-0c52-4089-af91-d2ab2b117f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cbd39-c008-4230-a579-9739f1d91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528fd71-ad7b-48f8-811b-c0b5643803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30276-0c52-4089-af91-d2ab2b117ff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be013908-1ba4-48cd-ac79-397f363dc075}" ma:internalName="TaxCatchAll" ma:showField="CatchAllData" ma:web="5b630276-0c52-4089-af91-d2ab2b117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7D101-B695-4DEF-ACD0-7675E2BD769E}">
  <ds:schemaRefs>
    <ds:schemaRef ds:uri="http://schemas.microsoft.com/sharepoint/v3/contenttype/forms"/>
  </ds:schemaRefs>
</ds:datastoreItem>
</file>

<file path=customXml/itemProps2.xml><?xml version="1.0" encoding="utf-8"?>
<ds:datastoreItem xmlns:ds="http://schemas.openxmlformats.org/officeDocument/2006/customXml" ds:itemID="{E48C7D8C-E957-4E95-9850-FD9BEF0AF7CA}">
  <ds:schemaRefs>
    <ds:schemaRef ds:uri="http://schemas.microsoft.com/office/2006/metadata/properties"/>
    <ds:schemaRef ds:uri="http://schemas.microsoft.com/office/infopath/2007/PartnerControls"/>
    <ds:schemaRef ds:uri="5b630276-0c52-4089-af91-d2ab2b117ff4"/>
    <ds:schemaRef ds:uri="3bfcbd39-c008-4230-a579-9739f1d913db"/>
  </ds:schemaRefs>
</ds:datastoreItem>
</file>

<file path=customXml/itemProps3.xml><?xml version="1.0" encoding="utf-8"?>
<ds:datastoreItem xmlns:ds="http://schemas.openxmlformats.org/officeDocument/2006/customXml" ds:itemID="{D3F46946-1E18-4A73-BC8E-49F05C427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cbd39-c008-4230-a579-9739f1d913db"/>
    <ds:schemaRef ds:uri="5b630276-0c52-4089-af91-d2ab2b117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43</TotalTime>
  <Pages>7</Pages>
  <Words>1439</Words>
  <Characters>7627</Characters>
  <Application>Microsoft Office Word</Application>
  <DocSecurity>0</DocSecurity>
  <Lines>63</Lines>
  <Paragraphs>18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Sigmund Dybsjord</dc:creator>
  <cp:keywords/>
  <dc:description/>
  <cp:lastModifiedBy>Bård Sigmund Dybsjord</cp:lastModifiedBy>
  <cp:revision>54</cp:revision>
  <dcterms:created xsi:type="dcterms:W3CDTF">2025-11-21T11:29:00Z</dcterms:created>
  <dcterms:modified xsi:type="dcterms:W3CDTF">2025-12-03T16:17:00Z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ContentTypeId" pid="2">
    <vt:lpstr>0x010100738B666B71CE564FA5070EC1CB15A64B</vt:lpstr>
  </property>
  <property fmtid="{D5CDD505-2E9C-101B-9397-08002B2CF9AE}" name="MediaServiceImageTags" pid="3">
    <vt:lpstr/>
  </property>
</Properties>
</file>