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 w14:paraId="392805C4">
      <w:pPr>
        <w:pStyle w:val="Overskrift4"/>
        <w:spacing/>
        <w:rPr>
          <w:rFonts w:ascii="TheSansOffice" w:hAnsi="TheSansOffice"/>
        </w:rPr>
      </w:pPr>
    </w:p>
    <w:p w14:paraId="4F71F18A">
      <w:pPr>
        <w:pStyle w:val="Overskrift4"/>
        <w:spacing/>
        <w:rPr>
          <w:rFonts w:ascii="TheSansOffice" w:hAnsi="TheSansOffice"/>
          <w:sz w:val="24"/>
          <w:szCs w:val="24"/>
        </w:rPr>
      </w:pPr>
      <w:r>
        <w:rPr>
          <w:rFonts w:ascii="TheSansOffice" w:hAnsi="TheSansOffice"/>
          <w:sz w:val="24"/>
          <w:szCs w:val="24"/>
        </w:rPr>
        <w:t xml:space="preserve">K</w:t>
      </w:r>
      <w:r>
        <w:rPr>
          <w:rFonts w:ascii="TheSansOffice" w:hAnsi="TheSansOffice"/>
          <w:sz w:val="24"/>
          <w:szCs w:val="24"/>
        </w:rPr>
        <w:t xml:space="preserve">ONTRAKT FOR HOVEDBEDRIFT (HB) MED ANSVAR FOR SAMORDNING AV DE ENKELTE VIRKSOMHETERS HELSE-, MILJØ- OG SIKKERHETSARBEID UNDER GJENNOMFØRINGEN AV PROSJEKT </w:t>
      </w:r>
    </w:p>
    <w:p w14:paraId="614C23F5">
      <w:pPr>
        <w:pStyle w:val="StilBrdtekstTheSansOffice4pktFetVenstre"/>
        <w:spacing/>
        <w:rPr/>
      </w:pPr>
    </w:p>
    <w:p w14:paraId="410C4C44">
      <w:pPr>
        <w:pStyle w:val="Undertittel"/>
        <w:spacing/>
        <w:jc w:val="center"/>
        <w:rPr>
          <w:b/>
          <w:sz w:val="23"/>
        </w:rPr>
      </w:pPr>
      <w:r>
        <w:rPr>
          <w:b/>
          <w:sz w:val="16"/>
        </w:rPr>
        <w:t xml:space="preserve">ih</w:t>
      </w:r>
      <w:r>
        <w:rPr>
          <w:b/>
          <w:sz w:val="16"/>
        </w:rPr>
        <w:t xml:space="preserve">t. Arbeidsmiljølovens (AML) § </w:t>
      </w:r>
      <w:r>
        <w:rPr>
          <w:b/>
          <w:sz w:val="16"/>
        </w:rPr>
        <w:t xml:space="preserve">2 -2</w:t>
      </w:r>
      <w:r>
        <w:rPr>
          <w:b/>
          <w:sz w:val="16"/>
        </w:rPr>
        <w:br/>
      </w:r>
    </w:p>
    <w:p w14:paraId="0FD69383">
      <w:pPr>
        <w:pStyle w:val="Undertittel"/>
        <w:spacing/>
        <w:rPr>
          <w:b/>
          <w:sz w:val="23"/>
        </w:rPr>
      </w:pPr>
      <w:r>
        <w:rPr>
          <w:b/>
          <w:sz w:val="23"/>
        </w:rPr>
        <w:t xml:space="preserve">Denne avtale gjelder for prosjekt: </w:t>
      </w:r>
    </w:p>
    <w:p w14:paraId="35E5D505">
      <w:pPr>
        <w:spacing/>
        <w:rPr/>
      </w:pPr>
      <w:r>
        <w:rPr/>
        <w:br/>
      </w:r>
      <w:r>
        <w:rPr/>
        <w:br/>
      </w:r>
    </w:p>
    <w:p w14:paraId="4D29DEC8">
      <w:pPr>
        <w:spacing/>
        <w:rPr>
          <w:b/>
        </w:rPr>
      </w:pPr>
      <w:r>
        <w:rPr>
          <w:b/>
        </w:rPr>
        <w:t xml:space="preserve">Avtalen er inngått mellom: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925"/>
      </w:tblGrid>
      <w:tr>
        <w:trPr>
          <w:trHeight w:val="388" w:hRule="atLeast"/>
        </w:trPr>
        <w:tc>
          <w:tcPr>
            <w:tcW w:type="dxa" w:w="4361"/>
            <w:tcBorders/>
            <w:vAlign w:val="center"/>
          </w:tcPr>
          <w:p>
            <w:pPr>
              <w:spacing/>
              <w:rPr>
                <w:b/>
                <w:sz w:val="20"/>
              </w:rPr>
            </w:pPr>
            <w:r>
              <w:rPr>
                <w:b/>
              </w:rPr>
              <w:t xml:space="preserve">BYGGHERREN</w:t>
            </w:r>
            <w:r>
              <w:rPr>
                <w:b/>
              </w:rPr>
              <w:t xml:space="preserve"> (</w:t>
            </w:r>
            <w:r>
              <w:rPr>
                <w:b/>
              </w:rPr>
              <w:t xml:space="preserve">BH</w:t>
            </w:r>
            <w:r>
              <w:rPr>
                <w:b/>
              </w:rPr>
              <w:t xml:space="preserve">)</w:t>
            </w:r>
          </w:p>
        </w:tc>
        <w:tc>
          <w:tcPr>
            <w:tcW w:type="dxa" w:w="4925"/>
            <w:tcBorders/>
            <w:vAlign w:val="center"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Hovedbedrift (HB)</w:t>
            </w:r>
          </w:p>
        </w:tc>
      </w:tr>
      <w:tr>
        <w:trPr>
          <w:trHeight w:val="276" w:hRule="atLeast"/>
        </w:trPr>
        <w:tc>
          <w:tcPr>
            <w:tcW w:type="dxa" w:w="4361"/>
            <w:tcBorders/>
            <w:vAlign w:val="center"/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Oslo</w:t>
            </w:r>
            <w:r>
              <w:rPr>
                <w:sz w:val="20"/>
              </w:rPr>
              <w:t xml:space="preserve">bygg Oslo KF</w:t>
            </w:r>
          </w:p>
        </w:tc>
        <w:tc>
          <w:tcPr>
            <w:tcW w:type="dxa" w:w="4925"/>
            <w:tcBorders/>
            <w:vAlign w:val="center"/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&lt;</w:t>
            </w:r>
            <w:r>
              <w:rPr>
                <w:sz w:val="20"/>
              </w:rPr>
              <w:t xml:space="preserve">HB</w:t>
            </w:r>
            <w:r>
              <w:rPr>
                <w:sz w:val="20"/>
              </w:rPr>
              <w:t xml:space="preserve">&gt;</w:t>
            </w:r>
            <w:r>
              <w:rPr>
                <w:sz w:val="20"/>
              </w:rPr>
              <w:t xml:space="preserve">  </w:t>
            </w:r>
          </w:p>
        </w:tc>
      </w:tr>
      <w:tr>
        <w:trPr>
          <w:trHeight w:val="276" w:hRule="atLeast"/>
        </w:trPr>
        <w:tc>
          <w:tcPr>
            <w:tcW w:type="dxa" w:w="4361"/>
            <w:tcBorders/>
            <w:vAlign w:val="center"/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Grenesvingen 7</w:t>
            </w:r>
          </w:p>
        </w:tc>
        <w:tc>
          <w:tcPr>
            <w:tcW w:type="dxa" w:w="4925"/>
            <w:tcBorders/>
            <w:vAlign w:val="center"/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&lt;</w:t>
            </w:r>
            <w:r>
              <w:rPr>
                <w:sz w:val="20"/>
              </w:rPr>
              <w:t xml:space="preserve">Adresse&gt;</w:t>
            </w:r>
          </w:p>
        </w:tc>
      </w:tr>
      <w:tr>
        <w:trPr>
          <w:trHeight w:val="276" w:hRule="atLeast"/>
        </w:trPr>
        <w:tc>
          <w:tcPr>
            <w:tcW w:type="dxa" w:w="4361"/>
            <w:tcBorders/>
            <w:vAlign w:val="center"/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0661</w:t>
            </w:r>
            <w:r>
              <w:rPr>
                <w:sz w:val="20"/>
              </w:rPr>
              <w:t xml:space="preserve"> Oslo</w:t>
            </w:r>
          </w:p>
        </w:tc>
        <w:tc>
          <w:tcPr>
            <w:tcW w:type="dxa" w:w="4925"/>
            <w:tcBorders/>
            <w:vAlign w:val="center"/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&lt;</w:t>
            </w:r>
            <w:r>
              <w:rPr>
                <w:sz w:val="20"/>
              </w:rPr>
              <w:t xml:space="preserve">Pnr-Psted&gt;</w:t>
            </w:r>
          </w:p>
        </w:tc>
      </w:tr>
      <w:tr>
        <w:trPr>
          <w:trHeight w:val="276" w:hRule="atLeast"/>
        </w:trPr>
        <w:tc>
          <w:tcPr>
            <w:tcW w:type="dxa" w:w="4361"/>
            <w:tcBorders>
              <w:bottom w:val="single" w:color="auto" w:sz="4" w:space="0"/>
            </w:tcBorders>
            <w:vAlign w:val="center"/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Orgnr</w:t>
            </w:r>
            <w:r>
              <w:rPr>
                <w:sz w:val="20"/>
              </w:rPr>
              <w:t xml:space="preserve">.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924 599 545</w:t>
            </w:r>
          </w:p>
        </w:tc>
        <w:tc>
          <w:tcPr>
            <w:tcW w:type="dxa" w:w="4925"/>
            <w:tcBorders>
              <w:bottom w:val="single" w:color="auto" w:sz="4" w:space="0"/>
            </w:tcBorders>
            <w:vAlign w:val="center"/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Orgnr</w:t>
            </w:r>
            <w:r>
              <w:rPr>
                <w:sz w:val="20"/>
              </w:rPr>
              <w:t xml:space="preserve">.</w:t>
            </w:r>
            <w:r>
              <w:rPr>
                <w:sz w:val="20"/>
              </w:rPr>
              <w:t xml:space="preserve">: &lt;</w:t>
            </w:r>
            <w:r>
              <w:rPr>
                <w:sz w:val="20"/>
              </w:rPr>
              <w:t xml:space="preserve">HB</w:t>
            </w:r>
            <w:r>
              <w:rPr>
                <w:sz w:val="20"/>
              </w:rPr>
              <w:t xml:space="preserve">-Orgnr&gt; MVA</w:t>
            </w:r>
          </w:p>
        </w:tc>
      </w:tr>
    </w:tbl>
    <w:p w14:paraId="07650E91">
      <w:pPr>
        <w:spacing/>
        <w:rPr/>
      </w:pPr>
      <w:r>
        <w:rPr/>
        <w:br/>
      </w:r>
    </w:p>
    <w:p w14:paraId="4AEC8C2B">
      <w:pPr>
        <w:spacing/>
        <w:rPr/>
      </w:pPr>
      <w:r>
        <w:rPr>
          <w:b/>
          <w:i/>
        </w:rPr>
        <w:t xml:space="preserve">Hovedbedrift</w:t>
      </w:r>
      <w:r>
        <w:rPr/>
        <w:t xml:space="preserve"> skal ivareta samordningsforpliktelsene etter </w:t>
      </w:r>
      <w:r>
        <w:rPr>
          <w:b/>
        </w:rPr>
        <w:t xml:space="preserve">AML § </w:t>
      </w:r>
      <w:r>
        <w:rPr>
          <w:b/>
        </w:rPr>
        <w:t xml:space="preserve">2</w:t>
      </w:r>
      <w:r>
        <w:rPr>
          <w:b/>
        </w:rPr>
        <w:t xml:space="preserve">-2</w:t>
      </w:r>
      <w:r>
        <w:rPr/>
        <w:t xml:space="preserve">:</w:t>
      </w:r>
    </w:p>
    <w:p w14:paraId="6FCA3000">
      <w:pPr>
        <w:spacing/>
        <w:rPr/>
      </w:pPr>
    </w:p>
    <w:p w14:paraId="3AA05CCC">
      <w:pPr>
        <w:spacing/>
        <w:rPr/>
      </w:pPr>
      <w:r>
        <w:rPr/>
        <w:t xml:space="preserve">Når flere arbeidsgivere samtidig driver virksomhet på samme arbeidsplass, skal</w:t>
      </w:r>
    </w:p>
    <w:p w14:paraId="3514CE0F">
      <w:pPr>
        <w:spacing/>
        <w:rPr/>
      </w:pPr>
    </w:p>
    <w:p w14:paraId="7A31E804">
      <w:pPr>
        <w:numPr>
          <w:ilvl w:val="0"/>
          <w:numId w:val="3"/>
        </w:numPr>
        <w:spacing/>
        <w:rPr/>
      </w:pPr>
      <w:r>
        <w:rPr/>
        <w:t xml:space="preserve">Hovedbedriften ha</w:t>
      </w:r>
      <w:r>
        <w:rPr/>
        <w:t xml:space="preserve">r</w:t>
      </w:r>
      <w:r>
        <w:rPr/>
        <w:t xml:space="preserve"> ansvaret for samordningen av de enkelte virk</w:t>
      </w:r>
      <w:r>
        <w:rPr/>
        <w:t xml:space="preserve">somheters verne- og miljøar</w:t>
      </w:r>
      <w:r>
        <w:rPr/>
        <w:t xml:space="preserve">beid, jf. AML. § 2</w:t>
      </w:r>
      <w:r>
        <w:rPr/>
        <w:t xml:space="preserve">-2(2)</w:t>
      </w:r>
    </w:p>
    <w:p w14:paraId="679EE819">
      <w:pPr>
        <w:pStyle w:val="Topptekst"/>
        <w:tabs>
          <w:tab w:val="clear" w:pos="4536"/>
          <w:tab w:val="clear" w:pos="9072"/>
        </w:tabs>
        <w:spacing/>
        <w:rPr/>
      </w:pPr>
    </w:p>
    <w:p w14:paraId="563AF0A8">
      <w:pPr>
        <w:spacing/>
        <w:rPr/>
      </w:pPr>
      <w:r>
        <w:rPr/>
        <w:t xml:space="preserve">Det </w:t>
      </w:r>
      <w:r>
        <w:rPr/>
        <w:t xml:space="preserve">skal etableres samordningsavtale </w:t>
      </w:r>
      <w:r>
        <w:rPr/>
        <w:t xml:space="preserve">(se </w:t>
      </w:r>
      <w:r>
        <w:rPr/>
        <w:t xml:space="preserve">O</w:t>
      </w:r>
      <w:r>
        <w:rPr/>
        <w:t xml:space="preserve">BF mal) </w:t>
      </w:r>
      <w:r>
        <w:rPr/>
        <w:t xml:space="preserve">mellom hovedbedriften og de øvrige virksomhetene på bygge- eller anleggsplassen.</w:t>
      </w:r>
    </w:p>
    <w:p w14:paraId="2E2F3440">
      <w:pPr>
        <w:spacing/>
        <w:rPr>
          <w:sz w:val="20"/>
        </w:rPr>
      </w:pPr>
    </w:p>
    <w:p w14:paraId="63F43F35">
      <w:pPr>
        <w:spacing/>
        <w:rPr/>
      </w:pPr>
      <w:r>
        <w:rPr/>
        <w:t xml:space="preserve">Hovedbedriften</w:t>
      </w:r>
      <w:r>
        <w:rPr/>
        <w:t xml:space="preserve">,</w:t>
      </w:r>
      <w:r>
        <w:rPr/>
        <w:t xml:space="preserve"> samt alle andre virksomheter på bygge- eller anleggsplassen</w:t>
      </w:r>
      <w:r>
        <w:rPr/>
        <w:t xml:space="preserve">,</w:t>
      </w:r>
      <w:r>
        <w:rPr/>
        <w:t xml:space="preserve"> skal</w:t>
      </w:r>
      <w:r>
        <w:rPr/>
        <w:t xml:space="preserve"> følge § 18 </w:t>
      </w:r>
      <w:r>
        <w:rPr/>
        <w:t xml:space="preserve">(generelle plikter) </w:t>
      </w:r>
      <w:r>
        <w:rPr/>
        <w:t xml:space="preserve">og </w:t>
      </w:r>
      <w:r>
        <w:rPr/>
        <w:t xml:space="preserve">§ </w:t>
      </w:r>
      <w:r>
        <w:rPr/>
        <w:t xml:space="preserve">19 </w:t>
      </w:r>
      <w:r>
        <w:rPr/>
        <w:t xml:space="preserve">(informasjonsplikt) </w:t>
      </w:r>
      <w:r>
        <w:rPr/>
        <w:t xml:space="preserve">i byggherreforskriften og herunder følge planen for sikkerhet, helse og arbeidsmiljø som gjelder for arbeidet og følge byggherrens eller koordinators anvisninger.</w:t>
      </w:r>
      <w:r>
        <w:rPr/>
        <w:t xml:space="preserve"> </w:t>
      </w:r>
    </w:p>
    <w:p w14:paraId="2C29CACB">
      <w:pPr>
        <w:spacing/>
        <w:rPr/>
      </w:pPr>
    </w:p>
    <w:p w14:paraId="5A558EDC">
      <w:pPr>
        <w:spacing/>
        <w:rPr/>
      </w:pPr>
      <w:r>
        <w:rPr/>
        <w:t xml:space="preserve">Hovedbedriften skal gjennom sitt arbeid</w:t>
      </w:r>
      <w:r>
        <w:rPr/>
        <w:t xml:space="preserve"> som et minimum </w:t>
      </w:r>
      <w:r>
        <w:rPr/>
        <w:t xml:space="preserve">tilfredsstille byggherreforskriftens § 9</w:t>
      </w:r>
      <w:r>
        <w:rPr/>
        <w:t xml:space="preserve"> </w:t>
      </w:r>
      <w:r>
        <w:rPr/>
        <w:t xml:space="preserve">(Forebyggende tiltak) </w:t>
      </w:r>
      <w:r>
        <w:rPr/>
        <w:t xml:space="preserve">og de presiseringer av ytelsen som fremkommer i vedlagte beskrivelse, jf</w:t>
      </w:r>
      <w:r>
        <w:rPr/>
        <w:t xml:space="preserve">.</w:t>
      </w:r>
      <w:r>
        <w:rPr/>
        <w:t xml:space="preserve"> s 2 i dette dokument.  </w:t>
      </w:r>
    </w:p>
    <w:p w14:paraId="1F5661D8">
      <w:pPr>
        <w:spacing/>
        <w:rPr/>
      </w:pPr>
    </w:p>
    <w:p w14:paraId="4FF45FBA">
      <w:pPr>
        <w:spacing/>
        <w:rPr>
          <w:b/>
          <w:szCs w:val="22"/>
        </w:rPr>
      </w:pPr>
      <w:r>
        <w:rPr>
          <w:szCs w:val="22"/>
        </w:rPr>
        <w:t xml:space="preserve">Denne kontrakt er utferdiget i to eksemplarer hvorav partene beholder hvert sitt.</w:t>
      </w:r>
      <w:r>
        <w:rPr/>
        <w:br/>
      </w:r>
      <w:r>
        <w:rPr/>
        <w:br/>
      </w:r>
    </w:p>
    <w:p w14:paraId="6D094E9D">
      <w:pPr>
        <w:spacing/>
        <w:rPr/>
      </w:pPr>
      <w:r>
        <w:rPr/>
        <w:t xml:space="preserve">Sted og dato: </w:t>
      </w:r>
      <w:r>
        <w:rPr/>
        <w:tab/>
        <w:t xml:space="preserve"/>
      </w:r>
      <w:r>
        <w:rPr/>
        <w:t xml:space="preserve">_____________________</w:t>
      </w:r>
    </w:p>
    <w:p w14:paraId="1919DA65">
      <w:pPr>
        <w:spacing/>
        <w:rPr/>
      </w:pPr>
    </w:p>
    <w:p w14:paraId="0FDC03D3">
      <w:pPr>
        <w:spacing/>
        <w:rPr/>
      </w:pPr>
    </w:p>
    <w:tbl>
      <w:tblPr>
        <w:tblW w:w="9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4068"/>
        <w:gridCol w:w="679"/>
        <w:gridCol w:w="4181"/>
        <w:gridCol w:w="566"/>
      </w:tblGrid>
      <w:tr>
        <w:trPr/>
        <w:tc>
          <w:tcPr>
            <w:tcW w:type="dxa" w:w="406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/>
              <w:rPr/>
            </w:pPr>
          </w:p>
        </w:tc>
        <w:tc>
          <w:tcPr>
            <w:tcW w:type="dxa" w:w="679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/>
              <w:rPr/>
            </w:pPr>
          </w:p>
        </w:tc>
        <w:tc>
          <w:tcPr>
            <w:tcW w:type="dxa" w:w="4181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/>
              <w:rPr/>
            </w:pPr>
          </w:p>
        </w:tc>
        <w:tc>
          <w:tcPr>
            <w:tcW w:type="dxa" w:w="56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/>
              <w:rPr/>
            </w:pPr>
          </w:p>
        </w:tc>
      </w:tr>
      <w:tr>
        <w:trPr/>
        <w:tc>
          <w:tcPr>
            <w:tcW w:type="dxa" w:w="4747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/>
              <w:rPr/>
            </w:pPr>
            <w:r>
              <w:rPr/>
              <w:t xml:space="preserve">Sign.</w:t>
            </w:r>
          </w:p>
        </w:tc>
        <w:tc>
          <w:tcPr>
            <w:tcW w:type="dxa" w:w="4747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/>
              <w:rPr/>
            </w:pPr>
            <w:r>
              <w:rPr/>
              <w:t xml:space="preserve">Sign.</w:t>
            </w:r>
          </w:p>
        </w:tc>
      </w:tr>
      <w:tr>
        <w:trPr/>
        <w:tc>
          <w:tcPr>
            <w:tcW w:type="dxa" w:w="4747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/>
              <w:rPr/>
            </w:pPr>
            <w:r>
              <w:rPr>
                <w:sz w:val="20"/>
              </w:rPr>
              <w:t xml:space="preserve">Oslo</w:t>
            </w:r>
            <w:r>
              <w:rPr>
                <w:sz w:val="20"/>
              </w:rPr>
              <w:t xml:space="preserve">bygg Oslo KF</w:t>
            </w:r>
            <w:r>
              <w:rPr>
                <w:sz w:val="20"/>
              </w:rPr>
              <w:t xml:space="preserve">,</w:t>
            </w:r>
          </w:p>
        </w:tc>
        <w:tc>
          <w:tcPr>
            <w:tcW w:type="dxa" w:w="4747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/>
              <w:rPr/>
            </w:pPr>
            <w:r>
              <w:rPr>
                <w:sz w:val="20"/>
              </w:rPr>
              <w:t xml:space="preserve">&lt;for Firma&gt;,</w:t>
            </w:r>
          </w:p>
        </w:tc>
      </w:tr>
      <w:tr>
        <w:trPr/>
        <w:tc>
          <w:tcPr>
            <w:tcW w:type="dxa" w:w="4747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/>
              <w:rPr/>
            </w:pPr>
            <w:r>
              <w:rPr>
                <w:sz w:val="20"/>
              </w:rPr>
              <w:t xml:space="preserve">&lt;BH</w:t>
            </w:r>
            <w:r>
              <w:rPr>
                <w:sz w:val="20"/>
              </w:rPr>
              <w:t xml:space="preserve">-Navn&gt;</w:t>
            </w:r>
          </w:p>
        </w:tc>
        <w:tc>
          <w:tcPr>
            <w:tcW w:type="dxa" w:w="4747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/>
              <w:rPr>
                <w:sz w:val="20"/>
              </w:rPr>
            </w:pPr>
          </w:p>
        </w:tc>
      </w:tr>
    </w:tbl>
    <w:p w14:paraId="033BB7D3">
      <w:pPr>
        <w:pStyle w:val="Topptekst"/>
        <w:tabs>
          <w:tab w:val="clear" w:pos="4536"/>
          <w:tab w:val="clear" w:pos="9072"/>
        </w:tabs>
        <w:spacing w:before="100" w:beforeAutospacing="1" w:after="100" w:afterAutospacing="1"/>
        <w:rPr>
          <w:b/>
        </w:rPr>
      </w:pPr>
      <w:bookmarkStart w:id="2" w:name="_PRISTILBUD_1"/>
      <w:bookmarkStart w:id="3" w:name="_PRISTILBUD_2"/>
      <w:bookmarkStart w:id="4" w:name="_FORHÅNDSMELDING_TIL_ARBEIDSTILSYNET_2"/>
      <w:bookmarkEnd w:id="2"/>
      <w:bookmarkEnd w:id="3"/>
      <w:bookmarkEnd w:id="4"/>
      <w:r>
        <w:rPr>
          <w:b/>
        </w:rPr>
        <w:t xml:space="preserve">PRESISERIN</w:t>
      </w:r>
      <w:r>
        <w:rPr>
          <w:b/>
        </w:rPr>
        <w:t xml:space="preserve">GER AV YTELSEN SOM HOVEDBEDRIFT</w:t>
      </w:r>
    </w:p>
    <w:p w14:paraId="2507D838">
      <w:pPr>
        <w:pStyle w:val="Default"/>
        <w:spacing w:before="100" w:beforeAutospacing="1"/>
        <w:ind w:left="705" w:hanging="705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b/>
          <w:color w:val="auto"/>
        </w:rPr>
        <w:t xml:space="preserve">1. </w:t>
      </w:r>
      <w:r>
        <w:rPr>
          <w:rFonts w:ascii="Calibri" w:hAnsi="Calibri" w:cs="Times New Roman"/>
          <w:b/>
          <w:color w:val="auto"/>
        </w:rPr>
        <w:tab/>
        <w:t xml:space="preserve"/>
      </w:r>
      <w:r>
        <w:rPr>
          <w:rFonts w:ascii="Calibri" w:hAnsi="Calibri" w:cs="Times New Roman"/>
          <w:b/>
          <w:color w:val="auto"/>
        </w:rPr>
        <w:t xml:space="preserve">Introduksjon</w:t>
      </w:r>
      <w:r>
        <w:rPr/>
        <w:br/>
      </w:r>
      <w:r>
        <w:rPr>
          <w:sz w:val="20"/>
          <w:szCs w:val="20"/>
        </w:rPr>
        <w:br/>
      </w:r>
      <w:r>
        <w:rPr>
          <w:rFonts w:ascii="Calibri" w:hAnsi="Calibri"/>
          <w:sz w:val="22"/>
          <w:szCs w:val="22"/>
        </w:rPr>
        <w:t xml:space="preserve">I forbindelse med byggeprosjekter oppstår det innimellom uklarheter i forhold til koordinering av HMS arbeidet på byggeplassen. Dette gjelder i de tilfellene hvor det er flere bedrifter som er inne og utfører arbeidsoppgaver i samme byggeprosjekt. Arbeidsmiljøloven foreskriver at det skal være en Hovedbedrift dersom det er flere Arbeidsgivere på arbeidsplassen. </w:t>
      </w:r>
    </w:p>
    <w:p w14:paraId="38FEA986">
      <w:pPr>
        <w:pStyle w:val="Default"/>
        <w:spacing w:before="100" w:before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/>
      </w:r>
      <w:r>
        <w:rPr>
          <w:rFonts w:ascii="Calibri" w:hAnsi="Calibri"/>
          <w:sz w:val="22"/>
          <w:szCs w:val="22"/>
        </w:rPr>
        <w:t xml:space="preserve">Hovedbedriften er ansvarlig for å samordne de enkelte virksomhetenes verne- og miljøarbeid på </w:t>
      </w:r>
      <w:r>
        <w:rPr>
          <w:rFonts w:ascii="Calibri" w:hAnsi="Calibri"/>
          <w:sz w:val="22"/>
          <w:szCs w:val="22"/>
        </w:rPr>
        <w:tab/>
        <w:t xml:space="preserve"/>
      </w:r>
      <w:r>
        <w:rPr>
          <w:rFonts w:ascii="Calibri" w:hAnsi="Calibri"/>
          <w:sz w:val="22"/>
          <w:szCs w:val="22"/>
        </w:rPr>
        <w:t xml:space="preserve">arbeidsplassen. </w:t>
      </w:r>
    </w:p>
    <w:p w14:paraId="1CBA479C">
      <w:pPr>
        <w:pStyle w:val="Default"/>
        <w:spacing w:before="100" w:beforeAutospacing="1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Byggherren </w:t>
      </w:r>
      <w:r>
        <w:rPr>
          <w:rFonts w:ascii="Calibri" w:hAnsi="Calibri"/>
          <w:sz w:val="22"/>
          <w:szCs w:val="22"/>
        </w:rPr>
        <w:t xml:space="preserve">skal legge til rette for </w:t>
      </w:r>
      <w:r>
        <w:rPr>
          <w:rFonts w:ascii="Calibri" w:hAnsi="Calibri"/>
          <w:sz w:val="22"/>
          <w:szCs w:val="22"/>
        </w:rPr>
        <w:t xml:space="preserve">at Hovedbedrift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blir </w:t>
      </w:r>
      <w:r>
        <w:rPr>
          <w:rFonts w:ascii="Calibri" w:hAnsi="Calibri"/>
          <w:sz w:val="22"/>
          <w:szCs w:val="22"/>
        </w:rPr>
        <w:t xml:space="preserve">utpekt </w:t>
      </w:r>
      <w:r>
        <w:rPr>
          <w:rFonts w:ascii="Calibri" w:hAnsi="Calibri"/>
          <w:sz w:val="22"/>
          <w:szCs w:val="22"/>
        </w:rPr>
        <w:t xml:space="preserve">og at oppgavene </w:t>
      </w:r>
      <w:r>
        <w:rPr>
          <w:rFonts w:ascii="Calibri" w:hAnsi="Calibri"/>
          <w:sz w:val="22"/>
          <w:szCs w:val="22"/>
        </w:rPr>
        <w:t xml:space="preserve">til </w:t>
      </w:r>
      <w:r>
        <w:rPr>
          <w:rFonts w:ascii="Calibri" w:hAnsi="Calibri"/>
          <w:sz w:val="22"/>
          <w:szCs w:val="22"/>
        </w:rPr>
        <w:t xml:space="preserve">Hovedbedrift blir planlagt og gjennomført.</w:t>
      </w:r>
    </w:p>
    <w:p w14:paraId="3159DB8D">
      <w:pPr>
        <w:pStyle w:val="Default"/>
        <w:spacing w:before="100" w:beforeAutospacing="1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b/>
          <w:bCs/>
          <w:color w:val="auto"/>
        </w:rPr>
        <w:t xml:space="preserve">2. </w:t>
      </w:r>
      <w:r>
        <w:rPr>
          <w:rFonts w:ascii="Calibri" w:hAnsi="Calibri" w:cs="Times New Roman"/>
          <w:b/>
          <w:color w:val="auto"/>
        </w:rPr>
        <w:tab/>
        <w:t xml:space="preserve"/>
      </w:r>
      <w:r>
        <w:rPr>
          <w:rFonts w:ascii="Calibri" w:hAnsi="Calibri" w:cs="Times New Roman"/>
          <w:b/>
          <w:color w:val="auto"/>
        </w:rPr>
        <w:t xml:space="preserve">Ansvar som Hovedbedrift</w:t>
      </w:r>
      <w:r>
        <w:rPr>
          <w:rFonts w:cs="Times New Roman"/>
          <w:color w:val="auto"/>
        </w:rPr>
        <w:br/>
      </w:r>
      <w:r>
        <w:rPr>
          <w:rFonts w:cs="Times New Roman"/>
          <w:color w:val="auto"/>
          <w:sz w:val="22"/>
          <w:szCs w:val="22"/>
        </w:rPr>
        <w:br/>
      </w:r>
      <w:r>
        <w:rPr>
          <w:rFonts w:ascii="Calibri" w:hAnsi="Calibri" w:cs="Times New Roman"/>
          <w:color w:val="auto"/>
          <w:sz w:val="22"/>
          <w:szCs w:val="22"/>
        </w:rPr>
        <w:tab/>
        <w:t xml:space="preserve"/>
      </w:r>
      <w:r>
        <w:rPr>
          <w:rFonts w:ascii="Calibri" w:hAnsi="Calibri" w:cs="Times New Roman"/>
          <w:color w:val="auto"/>
          <w:sz w:val="22"/>
          <w:szCs w:val="22"/>
        </w:rPr>
        <w:t xml:space="preserve">Følgende forutsetninger må oppfylles for å være Hovedbedrift:</w:t>
      </w:r>
    </w:p>
    <w:p w14:paraId="5F488CAF">
      <w:pPr>
        <w:pStyle w:val="Default"/>
        <w:numPr>
          <w:ilvl w:val="0"/>
          <w:numId w:val="6"/>
        </w:numPr>
        <w:spacing w:before="100" w:beforeAutospacing="1"/>
        <w:ind w:left="1134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At Hovedbedrift har tilstedeværelse og kan utøve myndighet på det området hvor ansvaret som Hovedbedrift er definert</w:t>
      </w:r>
    </w:p>
    <w:p w14:paraId="7D49F4F4">
      <w:pPr>
        <w:pStyle w:val="Default"/>
        <w:numPr>
          <w:ilvl w:val="0"/>
          <w:numId w:val="6"/>
        </w:numPr>
        <w:spacing w:before="100" w:beforeAutospacing="1"/>
        <w:ind w:left="1134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At Hovedbedrift har nødvendige ressurser og kompetanse til å ivareta oppgavene</w:t>
      </w:r>
    </w:p>
    <w:p w14:paraId="19473D9D">
      <w:pPr>
        <w:pStyle w:val="Default"/>
        <w:numPr>
          <w:ilvl w:val="0"/>
          <w:numId w:val="6"/>
        </w:numPr>
        <w:spacing w:before="100" w:beforeAutospacing="1"/>
        <w:ind w:left="1134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At Hovedbedriften skal ha kontakt med lokale myndigheter og tilsynsmyndigheter vedrørende Hovedbedriftens ansvarsområde</w:t>
      </w:r>
    </w:p>
    <w:p w14:paraId="5D136502">
      <w:pPr>
        <w:pStyle w:val="Default"/>
        <w:numPr>
          <w:ilvl w:val="0"/>
          <w:numId w:val="6"/>
        </w:numPr>
        <w:spacing w:before="100" w:beforeAutospacing="1"/>
        <w:ind w:left="1134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At plan for Hovedbedriftsansvaret skal etableres (hvem/hva/hvor/når)</w:t>
      </w:r>
    </w:p>
    <w:p w14:paraId="4C16E7AD">
      <w:pPr>
        <w:pStyle w:val="Default"/>
        <w:numPr>
          <w:ilvl w:val="0"/>
          <w:numId w:val="6"/>
        </w:numPr>
        <w:spacing w:before="100" w:beforeAutospacing="1"/>
        <w:ind w:left="1134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At det skal etableres samordningsavtaler for alle arbeidsgivere som vil være tilstede på byggeplassen og denne skal underskrives av alle arbeidsgivere og deres vernetjeneste</w:t>
      </w:r>
      <w:r>
        <w:rPr>
          <w:rFonts w:ascii="Calibri" w:hAnsi="Calibri" w:cs="Times New Roman"/>
          <w:color w:val="auto"/>
          <w:sz w:val="22"/>
          <w:szCs w:val="22"/>
        </w:rPr>
        <w:t xml:space="preserve"> (se </w:t>
      </w:r>
      <w:r>
        <w:rPr>
          <w:rFonts w:ascii="Calibri" w:hAnsi="Calibri" w:cs="Times New Roman"/>
          <w:color w:val="auto"/>
          <w:sz w:val="22"/>
          <w:szCs w:val="22"/>
        </w:rPr>
        <w:t xml:space="preserve">O</w:t>
      </w:r>
      <w:r>
        <w:rPr>
          <w:rFonts w:ascii="Calibri" w:hAnsi="Calibri" w:cs="Times New Roman"/>
          <w:color w:val="auto"/>
          <w:sz w:val="22"/>
          <w:szCs w:val="22"/>
        </w:rPr>
        <w:t xml:space="preserve">BF mal)</w:t>
      </w:r>
    </w:p>
    <w:p w14:paraId="25C2AB8B">
      <w:pPr>
        <w:pStyle w:val="Default"/>
        <w:numPr>
          <w:ilvl w:val="0"/>
          <w:numId w:val="6"/>
        </w:numPr>
        <w:spacing w:before="100" w:beforeAutospacing="1"/>
        <w:ind w:left="1134"/>
        <w:rPr>
          <w:rFonts w:ascii="Calibri" w:hAnsi="Calibri" w:cs="Times New Roman"/>
          <w:b/>
          <w:bCs/>
          <w:color w:val="auto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At det etableres overordnede HMS strategier, planer og mål</w:t>
      </w:r>
    </w:p>
    <w:p w14:paraId="383BC937">
      <w:pPr>
        <w:pStyle w:val="Default"/>
        <w:spacing w:before="100" w:beforeAutospacing="1"/>
        <w:rPr>
          <w:rFonts w:ascii="Calibri" w:hAnsi="Calibri" w:cs="Times New Roman"/>
          <w:b/>
          <w:bCs/>
          <w:color w:val="auto"/>
        </w:rPr>
      </w:pPr>
      <w:r>
        <w:rPr>
          <w:rFonts w:ascii="Calibri" w:hAnsi="Calibri" w:cs="Times New Roman"/>
          <w:b/>
          <w:bCs/>
          <w:color w:val="auto"/>
        </w:rPr>
        <w:t xml:space="preserve">3. </w:t>
      </w:r>
      <w:r>
        <w:rPr>
          <w:rFonts w:ascii="Calibri" w:hAnsi="Calibri" w:cs="Times New Roman"/>
          <w:b/>
          <w:bCs/>
          <w:color w:val="auto"/>
        </w:rPr>
        <w:tab/>
        <w:t xml:space="preserve"/>
      </w:r>
      <w:r>
        <w:rPr>
          <w:rFonts w:ascii="Calibri" w:hAnsi="Calibri" w:cs="Times New Roman"/>
          <w:b/>
          <w:bCs/>
          <w:color w:val="auto"/>
        </w:rPr>
        <w:t xml:space="preserve">Oppgaver som Hovedbedrift</w:t>
      </w:r>
    </w:p>
    <w:p w14:paraId="68A31506">
      <w:pPr>
        <w:pStyle w:val="Avsnitt10"/>
        <w:spacing w:before="100" w:beforeAutospacing="1" w:after="100" w:afterAutospacing="1"/>
        <w:ind w:left="708"/>
        <w:rPr/>
      </w:pPr>
      <w:r>
        <w:rPr/>
        <w:t xml:space="preserve">Entreprenøren som er hovedbedrift (HB) skal signere på HB-avtalen, og har følgende forpliktelser:</w:t>
      </w:r>
    </w:p>
    <w:p w14:paraId="536A8369">
      <w:pPr>
        <w:pStyle w:val="Default"/>
        <w:numPr>
          <w:ilvl w:val="0"/>
          <w:numId w:val="4"/>
        </w:numPr>
        <w:adjustRightInd w:val="true"/>
        <w:spacing w:before="100" w:beforeAutospacing="1"/>
        <w:ind w:left="991" w:hanging="283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Ha tilstedeværelse og utøve myndighet på det området hvor ansvaret som HB er definert og videre ha nødvendige ressurser og kompetanse til å ivareta oppgavene</w:t>
      </w:r>
    </w:p>
    <w:p w14:paraId="38403321">
      <w:pPr>
        <w:pStyle w:val="Default"/>
        <w:numPr>
          <w:ilvl w:val="0"/>
          <w:numId w:val="4"/>
        </w:numPr>
        <w:adjustRightInd w:val="true"/>
        <w:spacing w:before="100" w:beforeAutospacing="1"/>
        <w:ind w:left="991" w:hanging="283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Etablere samordningsavtaler for alle arbeidsgivere som vil være tilstede på byggeplassen. Disse skal underskrives av alle arbeidsgivere og deres vernetjeneste.</w:t>
      </w:r>
    </w:p>
    <w:p w14:paraId="11F6469E">
      <w:pPr>
        <w:pStyle w:val="Default"/>
        <w:numPr>
          <w:ilvl w:val="0"/>
          <w:numId w:val="4"/>
        </w:numPr>
        <w:adjustRightInd w:val="true"/>
        <w:spacing w:before="100" w:beforeAutospacing="1"/>
        <w:ind w:left="991" w:hanging="283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Samordne de enkelte virksomhetenes verne- og miljøarbeid på arbeidsplasser, herunder rapportering av uønskede hendelse og farlige situasjoner, de enkeltes virksomheters HMS-planer, intern HMS-info og møtevirksomhet, samordnings- og</w:t>
      </w:r>
      <w:r>
        <w:rPr>
          <w:rFonts w:ascii="Calibri" w:hAnsi="Calibri"/>
          <w:color w:val="auto"/>
          <w:sz w:val="22"/>
          <w:szCs w:val="22"/>
        </w:rPr>
        <w:t xml:space="preserve"> vernerunder samt KU-befaringer</w:t>
      </w:r>
    </w:p>
    <w:p w14:paraId="2FFFD5C5">
      <w:pPr>
        <w:pStyle w:val="Default"/>
        <w:numPr>
          <w:ilvl w:val="0"/>
          <w:numId w:val="4"/>
        </w:numPr>
        <w:adjustRightInd w:val="true"/>
        <w:spacing w:before="100" w:beforeAutospacing="1"/>
        <w:ind w:left="991" w:hanging="283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Oppslått S</w:t>
      </w:r>
      <w:r>
        <w:rPr>
          <w:rFonts w:ascii="Calibri" w:hAnsi="Calibri"/>
          <w:color w:val="auto"/>
          <w:sz w:val="22"/>
          <w:szCs w:val="22"/>
        </w:rPr>
        <w:t xml:space="preserve">amordningsskj</w:t>
      </w:r>
      <w:r>
        <w:rPr>
          <w:rFonts w:ascii="Calibri" w:hAnsi="Calibri"/>
          <w:color w:val="auto"/>
          <w:sz w:val="22"/>
          <w:szCs w:val="22"/>
        </w:rPr>
        <w:t xml:space="preserve">ema skal være løpende oppdatert</w:t>
      </w:r>
      <w:r>
        <w:rPr>
          <w:rFonts w:ascii="Calibri" w:hAnsi="Calibri"/>
          <w:color w:val="auto"/>
          <w:sz w:val="22"/>
          <w:szCs w:val="22"/>
        </w:rPr>
        <w:t xml:space="preserve"> (Hentes i HMSreg når nye UE er godkjent</w:t>
      </w:r>
      <w:r>
        <w:rPr>
          <w:rFonts w:ascii="Calibri" w:hAnsi="Calibri"/>
          <w:color w:val="auto"/>
          <w:sz w:val="22"/>
          <w:szCs w:val="22"/>
        </w:rPr>
        <w:t xml:space="preserve">)</w:t>
      </w:r>
    </w:p>
    <w:p w14:paraId="04B8AD27">
      <w:pPr>
        <w:pStyle w:val="Default"/>
        <w:numPr>
          <w:ilvl w:val="0"/>
          <w:numId w:val="4"/>
        </w:numPr>
        <w:adjustRightInd w:val="true"/>
        <w:spacing w:before="100" w:beforeAutospacing="1"/>
        <w:ind w:left="991" w:hanging="283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Innkalle, lede, gjennomføre og skrive referat fra </w:t>
      </w:r>
      <w:r>
        <w:rPr>
          <w:rFonts w:ascii="Calibri" w:hAnsi="Calibri"/>
          <w:color w:val="auto"/>
          <w:sz w:val="22"/>
          <w:szCs w:val="22"/>
          <w:shd w:val="clear" w:color="auto" w:fill="FFFFFF"/>
        </w:rPr>
        <w:t xml:space="preserve">samordningsmøter og samordningsrunder, og s</w:t>
      </w:r>
      <w:r>
        <w:rPr>
          <w:rFonts w:ascii="Calibri" w:hAnsi="Calibri"/>
          <w:color w:val="auto"/>
          <w:sz w:val="22"/>
          <w:szCs w:val="22"/>
        </w:rPr>
        <w:t xml:space="preserve">ørge for at risikoforhold som berører flere virksomheter blir tatt opp i samordningsmøtene</w:t>
      </w:r>
    </w:p>
    <w:p w14:paraId="3BD768B1">
      <w:pPr>
        <w:pStyle w:val="Listeavsnitt"/>
        <w:numPr>
          <w:ilvl w:val="0"/>
          <w:numId w:val="4"/>
        </w:numPr>
        <w:autoSpaceDE w:val="false"/>
        <w:autoSpaceDN w:val="false"/>
        <w:spacing w:before="100" w:beforeAutospacing="1" w:after="100" w:afterAutospacing="1"/>
        <w:ind w:left="991" w:hanging="283"/>
        <w:rPr>
          <w:lang w:eastAsia="en-US"/>
        </w:rPr>
      </w:pPr>
      <w:r>
        <w:rPr/>
        <w:t xml:space="preserve">Gjennomføre vernerunder for egne arbeidstakere. </w:t>
      </w:r>
      <w:r>
        <w:rPr>
          <w:lang w:eastAsia="en-US"/>
        </w:rPr>
        <w:t xml:space="preserve">Føre referat og distribuere disse til samtlige firma på byggeplassen og </w:t>
      </w:r>
      <w:r>
        <w:rPr>
          <w:lang w:eastAsia="en-US"/>
        </w:rPr>
        <w:t xml:space="preserve">O</w:t>
      </w:r>
      <w:r>
        <w:rPr>
          <w:lang w:eastAsia="en-US"/>
        </w:rPr>
        <w:t xml:space="preserve">BF. </w:t>
      </w:r>
    </w:p>
    <w:p w14:paraId="51D818A1">
      <w:pPr>
        <w:pStyle w:val="Default"/>
        <w:numPr>
          <w:ilvl w:val="0"/>
          <w:numId w:val="4"/>
        </w:numPr>
        <w:adjustRightInd w:val="true"/>
        <w:spacing w:before="100" w:beforeAutospacing="1"/>
        <w:ind w:left="991" w:hanging="283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Rapportere skader og uønskede hendelser som har betydning for SHA, ytre miljø og "tr</w:t>
      </w:r>
      <w:r>
        <w:rPr>
          <w:rFonts w:ascii="Calibri" w:hAnsi="Calibri"/>
          <w:color w:val="auto"/>
          <w:sz w:val="22"/>
          <w:szCs w:val="22"/>
        </w:rPr>
        <w:t xml:space="preserve">edjepersoner" som befinner seg på</w:t>
      </w:r>
      <w:r>
        <w:rPr>
          <w:rFonts w:ascii="Calibri" w:hAnsi="Calibri"/>
          <w:color w:val="auto"/>
          <w:sz w:val="22"/>
          <w:szCs w:val="22"/>
        </w:rPr>
        <w:t xml:space="preserve"> eller i nærheten av </w:t>
      </w:r>
      <w:r>
        <w:rPr>
          <w:rFonts w:ascii="Calibri" w:hAnsi="Calibri"/>
          <w:color w:val="auto"/>
          <w:sz w:val="22"/>
          <w:szCs w:val="22"/>
        </w:rPr>
        <w:t xml:space="preserve">byggeplassen, i henhold til </w:t>
      </w:r>
      <w:r>
        <w:rPr>
          <w:rFonts w:ascii="Calibri" w:hAnsi="Calibri"/>
          <w:color w:val="auto"/>
          <w:sz w:val="22"/>
          <w:szCs w:val="22"/>
        </w:rPr>
        <w:t xml:space="preserve">O</w:t>
      </w:r>
      <w:r>
        <w:rPr>
          <w:rFonts w:ascii="Calibri" w:hAnsi="Calibri"/>
          <w:color w:val="auto"/>
          <w:sz w:val="22"/>
          <w:szCs w:val="22"/>
        </w:rPr>
        <w:t xml:space="preserve">BF</w:t>
      </w:r>
      <w:r>
        <w:rPr>
          <w:rFonts w:ascii="Calibri" w:hAnsi="Calibri"/>
          <w:color w:val="auto"/>
          <w:sz w:val="22"/>
          <w:szCs w:val="22"/>
        </w:rPr>
        <w:t xml:space="preserve">s "Varslingsplan for ulykker og nestenulykker"   </w:t>
      </w:r>
    </w:p>
    <w:p w14:paraId="6A35B985">
      <w:pPr>
        <w:pStyle w:val="Avsnitt10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91" w:hanging="284"/>
        <w:rPr/>
      </w:pPr>
      <w:r>
        <w:rPr/>
        <w:t xml:space="preserve">Sende kopi av skademeldinger som sendes </w:t>
      </w:r>
      <w:r>
        <w:rPr/>
        <w:t xml:space="preserve">til Arbeidstilsynet/NAV til </w:t>
      </w:r>
      <w:r>
        <w:rPr/>
        <w:t xml:space="preserve">O</w:t>
      </w:r>
      <w:r>
        <w:rPr/>
        <w:t xml:space="preserve">BF</w:t>
      </w:r>
    </w:p>
    <w:p w14:paraId="2A1B05C6">
      <w:pPr>
        <w:pStyle w:val="Default"/>
        <w:numPr>
          <w:ilvl w:val="0"/>
          <w:numId w:val="4"/>
        </w:numPr>
        <w:adjustRightInd w:val="true"/>
        <w:spacing w:before="100" w:beforeAutospacing="1"/>
        <w:ind w:left="991" w:hanging="283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Gjøre felles beredskapsplaner kjent – (</w:t>
      </w:r>
      <w:r>
        <w:rPr>
          <w:rFonts w:ascii="Calibri" w:hAnsi="Calibri"/>
          <w:i/>
          <w:iCs/>
          <w:color w:val="auto"/>
          <w:sz w:val="22"/>
          <w:szCs w:val="22"/>
        </w:rPr>
        <w:t xml:space="preserve">Oppslag og sikkerhetskurs</w:t>
      </w:r>
      <w:r>
        <w:rPr>
          <w:rFonts w:ascii="Calibri" w:hAnsi="Calibri"/>
          <w:color w:val="auto"/>
          <w:sz w:val="22"/>
          <w:szCs w:val="22"/>
        </w:rPr>
        <w:t xml:space="preserve">) og koordinere og gjennomføre felles beredskapsøvelser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</w:p>
    <w:p w14:paraId="69B94A54">
      <w:pPr>
        <w:pStyle w:val="Avsnitt10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91" w:hanging="284"/>
        <w:rPr/>
      </w:pPr>
      <w:r>
        <w:rPr/>
        <w:t xml:space="preserve">Ivareta varsling fra</w:t>
      </w:r>
      <w:r>
        <w:rPr/>
        <w:t xml:space="preserve"> utenlandske arbeidstakere i HB</w:t>
      </w:r>
      <w:r>
        <w:rPr/>
        <w:t xml:space="preserve">s</w:t>
      </w:r>
      <w:r>
        <w:rPr/>
        <w:t xml:space="preserve"> varslingsplan for prosjektet</w:t>
      </w:r>
    </w:p>
    <w:p w14:paraId="04656AB6">
      <w:pPr>
        <w:pStyle w:val="Avsnitt10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91" w:hanging="284"/>
        <w:rPr/>
      </w:pPr>
      <w:r>
        <w:rPr/>
        <w:t xml:space="preserve">Etableres et system for å melde inn avvik og uønskede hendelser (RUH)</w:t>
      </w:r>
      <w:r>
        <w:rPr/>
        <w:t xml:space="preserve">,</w:t>
      </w:r>
      <w:r>
        <w:rPr/>
        <w:t xml:space="preserve"> slik at farer kan elimineres før skader eller ulykker oppstår. RUH-statistikk skal henges opp på innvendig HMS-tavle og RUH skal arkiveres i prosjektets SHA-perm.</w:t>
      </w:r>
    </w:p>
    <w:p w14:paraId="41BB74B3">
      <w:pPr>
        <w:pStyle w:val="Avsnitt10"/>
        <w:numPr>
          <w:ilvl w:val="0"/>
          <w:numId w:val="4"/>
        </w:numPr>
        <w:spacing w:before="100" w:beforeAutospacing="1" w:after="100" w:afterAutospacing="1"/>
        <w:ind w:left="991" w:hanging="284"/>
        <w:rPr/>
      </w:pPr>
      <w:r>
        <w:rPr/>
        <w:t xml:space="preserve">Rapportere alle SHA-avvik relatert til SHA-plan</w:t>
      </w:r>
      <w:r>
        <w:rPr/>
        <w:t xml:space="preserve">,</w:t>
      </w:r>
      <w:r>
        <w:rPr/>
        <w:t xml:space="preserve"> og korrigerende ti</w:t>
      </w:r>
      <w:r>
        <w:rPr/>
        <w:t xml:space="preserve">ltak iverksettes omgående</w:t>
      </w:r>
    </w:p>
    <w:p w14:paraId="4F78D3CA">
      <w:pPr>
        <w:pStyle w:val="Avsnitt10"/>
        <w:numPr>
          <w:ilvl w:val="0"/>
          <w:numId w:val="4"/>
        </w:numPr>
        <w:spacing/>
        <w:ind w:left="992" w:hanging="284"/>
        <w:rPr/>
      </w:pPr>
      <w:r>
        <w:rPr/>
        <w:t xml:space="preserve">Etablerer og godkjenner SHA månedsrapport for prosjektet, i HMSreg hver måned. </w:t>
      </w:r>
    </w:p>
    <w:p w14:paraId="6961C146">
      <w:pPr>
        <w:pStyle w:val="Avsnitt10"/>
        <w:spacing/>
        <w:ind w:left="992" w:firstLine="1"/>
        <w:rPr/>
      </w:pPr>
      <w:r>
        <w:rPr/>
        <w:t xml:space="preserve">Rapporten skal bl.a. inneholde info om kontroller av lønns- og arbeidsvilkår utført av entreprenør og KU</w:t>
      </w:r>
      <w:r>
        <w:rPr/>
        <w:t xml:space="preserve">,</w:t>
      </w:r>
      <w:r>
        <w:rPr/>
        <w:t xml:space="preserve"> samt </w:t>
      </w:r>
      <w:r>
        <w:rPr/>
        <w:t xml:space="preserve">info om </w:t>
      </w:r>
      <w:r>
        <w:rPr/>
        <w:t xml:space="preserve">fokusområder</w:t>
      </w:r>
      <w:r>
        <w:rPr/>
        <w:t xml:space="preserve"> for SHA og HMS i perioden og i kommende.</w:t>
      </w:r>
    </w:p>
    <w:p w14:paraId="664092EA">
      <w:pPr>
        <w:pStyle w:val="Avsnitt10"/>
        <w:numPr>
          <w:ilvl w:val="0"/>
          <w:numId w:val="4"/>
        </w:numPr>
        <w:spacing/>
        <w:ind w:left="993" w:hanging="284"/>
        <w:rPr/>
      </w:pPr>
      <w:r>
        <w:rPr/>
        <w:t xml:space="preserve">Dersom det skal utføres arbeid på tidspunkter hvor ikke HB er representert på byggeplassen</w:t>
      </w:r>
      <w:r>
        <w:rPr/>
        <w:t xml:space="preserve">,</w:t>
      </w:r>
      <w:r>
        <w:rPr/>
        <w:t xml:space="preserve"> skal det skrives en avtale om overføring (ikke ansvar) av sentrale arbeidsoppgaver mellom HB og den som skal represent</w:t>
      </w:r>
      <w:r>
        <w:rPr/>
        <w:t xml:space="preserve">ere HB utover normal arbeidstid</w:t>
      </w:r>
    </w:p>
    <w:p w14:paraId="5650F7D8">
      <w:pPr>
        <w:pStyle w:val="Default"/>
        <w:numPr>
          <w:ilvl w:val="0"/>
          <w:numId w:val="4"/>
        </w:numPr>
        <w:adjustRightInd w:val="true"/>
        <w:spacing w:before="100" w:beforeAutospacing="1"/>
        <w:ind w:left="991" w:hanging="283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Bistå ved eventuell overføring av HB-ansvaret dersom dette endres under prosjekttiden. Ansvaret for at </w:t>
      </w:r>
      <w:r>
        <w:rPr>
          <w:rFonts w:ascii="Calibri" w:hAnsi="Calibri"/>
          <w:color w:val="auto"/>
          <w:sz w:val="22"/>
          <w:szCs w:val="22"/>
        </w:rPr>
        <w:t xml:space="preserve">overføring skjer ligger hos </w:t>
      </w:r>
      <w:r>
        <w:rPr>
          <w:rFonts w:ascii="Calibri" w:hAnsi="Calibri"/>
          <w:color w:val="auto"/>
          <w:sz w:val="22"/>
          <w:szCs w:val="22"/>
        </w:rPr>
        <w:t xml:space="preserve">O</w:t>
      </w:r>
      <w:r>
        <w:rPr>
          <w:rFonts w:ascii="Calibri" w:hAnsi="Calibri"/>
          <w:color w:val="auto"/>
          <w:sz w:val="22"/>
          <w:szCs w:val="22"/>
        </w:rPr>
        <w:t xml:space="preserve">BF.</w:t>
      </w:r>
    </w:p>
    <w:p w14:paraId="7B40F554">
      <w:pPr>
        <w:pStyle w:val="Default"/>
        <w:numPr>
          <w:ilvl w:val="0"/>
          <w:numId w:val="4"/>
        </w:numPr>
        <w:adjustRightInd w:val="true"/>
        <w:spacing w:before="100" w:beforeAutospacing="1"/>
        <w:ind w:left="991" w:hanging="283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Ha kontakt med lokale myndigheter og tilsynsmyndigheter vedrørende HB sitt ansvarsområde</w:t>
      </w:r>
    </w:p>
    <w:p w14:paraId="06108BE2">
      <w:pPr>
        <w:pStyle w:val="StilTopptekstFetFr5pktEtter5pkt"/>
        <w:spacing/>
        <w:rPr/>
      </w:pPr>
    </w:p>
    <w:sectPr>
      <w:headerReference w:type="default" r:id="rId1"/>
      <w:footerReference w:type="default" r:id="rId2"/>
      <w:type w:val="nextPage"/>
      <w:pgSz w:w="11906" w:h="16838"/>
      <w:pgMar w:top="2126" w:right="1134" w:bottom="1134" w:left="1418" w:header="454" w:footer="454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2"/>
    <w:family w:val="roman"/>
    <w:pitch w:val="variable"/>
    <w:sig w:usb0="00000000" w:usb1="10000000" w:usb2="00000000" w:usb3="00000000" w:csb0="80000000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Calibri">
    <w:charset w:val="0"/>
    <w:family w:val="swiss"/>
    <w:pitch w:val="variable"/>
    <w:sig w:usb0="E4002EFF" w:usb1="C200247B" w:usb2="00000009" w:usb3="00000000" w:csb0="000001FF" w:csb1="00000000"/>
  </w:font>
  <w:font w:name="TheSansOffice">
    <w:altName w:val="Malgun Gothic"/>
    <w:charset w:val="0"/>
    <w:family w:val="swiss"/>
    <w:pitch w:val="variable"/>
    <w:sig w:usb0="00000003" w:usb1="00000040" w:usb2="00000000" w:usb3="00000000" w:csb0="00000001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alibri Light">
    <w:charset w:val="0"/>
    <w:family w:val="swiss"/>
    <w:pitch w:val="variable"/>
    <w:sig w:usb0="E4002EFF" w:usb1="C200247B" w:usb2="00000009" w:usb3="00000000" w:csb0="000001F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c32e8b02-070d-43d0-8fa1-31c68f944a9f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677"/>
      <w:gridCol w:w="4677"/>
    </w:tblGrid>
    <w:tr>
      <w:trPr/>
      <w:tc>
        <w:tcPr>
          <w:tcW w:type="dxa" w:w="4677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16.04.2024 10:04:56 </w:t>
          </w:r>
        </w:p>
      </w:tc>
      <w:tc>
        <w:tcPr>
          <w:tcW w:type="dxa" w:w="4677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9995082e-d578-4540-9715-cdcfa113f041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124"/>
      <w:gridCol w:w="1360"/>
      <w:gridCol w:w="822"/>
    </w:tblGrid>
    <w:tr>
      <w:trPr>
        <w:trHeight w:val="600" w:hRule="atLeast"/>
      </w:trPr>
      <w:tc>
        <w:tcPr>
          <w:tcW w:type="dxa" w:w="7124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110. Versjonsnummer: 1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2.1 Kontrakt for hovedbedrift (HB)</w:t>
          </w:r>
        </w:p>
      </w:tc>
      <w:tc>
        <w:tcPr>
          <w:tcW w:type="dxa" w:w="1360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822"/>
          <w:tcBorders/>
          <w:vAlign w:val="center"/>
        </w:tcPr>
        <w:p>
          <w:pPr>
            <w:pStyle w:val="Normal_80ceee3d-2aaa-43ca-8202-10dcc6858df2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1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80ceee3d-2aaa-43ca-8202-10dcc6858df2"/>
      <w:pBdr/>
      <w:spacing w:before="20" w:after="20" w:line="20" w:lineRule="exact"/>
      <w:rPr/>
    </w:pPr>
  </w:p>
  <w:tbl>
    <w:tblPr>
      <w:tblStyle w:val="TableGrid_0580991e-e36f-43a8-a492-c11644dcad8d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6080"/>
      <w:gridCol w:w="3274"/>
    </w:tblGrid>
    <w:tr>
      <w:trPr/>
      <w:tc>
        <w:tcPr>
          <w:tcW w:type="dxa" w:w="6080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de6b54f1-3155-4397-9f6f-84e573ab7b1a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3. SHA - Dokumentasjon (SHA-Perm)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12.01.2023 (Bård Sigmund Dybsjord)</w:t>
                </w:r>
              </w:p>
            </w:tc>
          </w:tr>
        </w:tbl>
        <w:p>
          <w:pPr>
            <w:pStyle w:val="Normal_80ceee3d-2aaa-43ca-8202-10dcc6858df2"/>
            <w:pBdr/>
            <w:spacing/>
            <w:rPr/>
          </w:pPr>
        </w:p>
      </w:tc>
      <w:tc>
        <w:tcPr>
          <w:tcW w:type="dxa" w:w="3274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2d0a9d43-2256-4ed3-8f36-9126ac94a01d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Mal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80ceee3d-2aaa-43ca-8202-10dcc6858df2"/>
            <w:pBdr/>
            <w:spacing/>
            <w:rPr/>
          </w:pPr>
        </w:p>
      </w:tc>
    </w:tr>
  </w:tbl>
  <w:p>
    <w:pPr>
      <w:pStyle w:val="Normal_80ceee3d-2aaa-43ca-8202-10dcc6858df2"/>
      <w:pBdr/>
      <w:spacing w:before="40" w:after="40" w:line="40" w:lineRule="exac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26CF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">
    <w:nsid w:val="10E41FA9"/>
    <w:lvl w:ilvl="0">
      <w:start w:val="1"/>
      <w:numFmt w:val="bullet"/>
      <w:pStyle w:val="Kulepunkt1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">
    <w:nsid w:val="2E3F6974"/>
    <w:lvl w:ilvl="0">
      <w:start w:val="1"/>
      <w:numFmt w:val="bullet"/>
      <w:suff w:val="tab"/>
      <w:lvlText w:val=""/>
      <w:pPr>
        <w:tabs>
          <w:tab w:val="num" w:pos="360"/>
        </w:tabs>
        <w:spacing/>
        <w:ind w:left="360" w:hanging="360"/>
      </w:pPr>
      <w:rPr>
        <w:rFonts w:ascii="Symbol" w:hAnsi="Symbol" w:hint="default"/>
      </w:rPr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3">
    <w:nsid w:val="39524AA6"/>
    <w:lvl w:ilvl="0">
      <w:start w:val="1"/>
      <w:numFmt w:val="bullet"/>
      <w:suff w:val="tab"/>
      <w:lvlText w:val=""/>
      <w:pPr>
        <w:spacing/>
        <w:ind w:left="1211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586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3306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746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466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906" w:hanging="360"/>
      </w:pPr>
      <w:rPr>
        <w:rFonts w:ascii="Wingdings" w:hAnsi="Wingdings" w:hint="default"/>
      </w:rPr>
    </w:lvl>
  </w:abstractNum>
  <w:abstractNum w:abstractNumId="4">
    <w:nsid w:val="481463E1"/>
    <w:lvl w:ilvl="0">
      <w:start w:val="1"/>
      <w:numFmt w:val="bullet"/>
      <w:suff w:val="tab"/>
      <w:lvlText w:val=""/>
      <w:pPr>
        <w:tabs>
          <w:tab w:val="num" w:pos="720"/>
        </w:tabs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5">
    <w:nsid w:val="76BB44BA"/>
    <w:lvl w:ilvl="0">
      <w:start w:val="1"/>
      <w:numFmt w:val="bullet"/>
      <w:suff w:val="tab"/>
      <w:lvlText w:val=""/>
      <w:pPr>
        <w:spacing/>
        <w:ind w:left="3588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4308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5028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5748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6468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7188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7908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8628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93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 xmlns:w="http://schemas.openxmlformats.org/wordprocessingml/2006/main"/>
  <w:documentProtection w:edit="readOnly" w:enforcement="0"/>
  <w:defaultTabStop w:val="708"/>
  <w:hyphenationZone w:val="425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/>
    </w:pPr>
    <w:rPr>
      <w:rFonts w:ascii="Calibri" w:hAnsi="Calibri"/>
      <w:sz w:val="22"/>
      <w:lang w:eastAsia="en-US"/>
    </w:rPr>
  </w:style>
  <w:style w:type="paragraph" w:styleId="Overskrift1">
    <w:name w:val="Heading 1"/>
    <w:basedOn w:val="Avsnitt1"/>
    <w:next w:val="Normal"/>
    <w:link w:val="Overskrift1Tegn"/>
    <w:uiPriority w:val="9"/>
    <w:qFormat/>
    <w:pPr>
      <w:spacing w:before="200" w:after="200"/>
      <w:ind w:left="0"/>
      <w:outlineLvl w:val="0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spacing/>
      <w:jc w:val="center"/>
      <w:outlineLvl w:val="3"/>
    </w:pPr>
    <w:rPr>
      <w:rFonts w:ascii="Arial" w:hAnsi="Arial" w:cs="Arial"/>
      <w:b/>
      <w:bCs/>
      <w:sz w:val="28"/>
    </w:rPr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/>
    </w:pPr>
    <w:rPr/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  <w:spacing/>
    </w:pPr>
    <w:rPr/>
  </w:style>
  <w:style w:type="paragraph" w:styleId="Brdtekst">
    <w:name w:val="Body Text"/>
    <w:basedOn w:val="Normal"/>
    <w:pPr>
      <w:spacing/>
      <w:jc w:val="center"/>
    </w:pPr>
    <w:rPr>
      <w:rFonts w:ascii="Arial" w:hAnsi="Arial" w:cs="Arial"/>
      <w:sz w:val="28"/>
    </w:rPr>
  </w:style>
  <w:style w:type="paragraph" w:styleId="Undertittel">
    <w:name w:val="Subtitle"/>
    <w:basedOn w:val="Normal"/>
    <w:qFormat/>
    <w:pPr>
      <w:spacing/>
    </w:pPr>
    <w:rPr>
      <w:sz w:val="24"/>
    </w:rPr>
  </w:style>
  <w:style w:type="table" w:styleId="Tabellrutenett">
    <w:name w:val="Table Grid"/>
    <w:basedOn w:val="Vanligtabel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unntekstTegn" w:customStyle="1">
    <w:name w:val="Bunntekst Tegn"/>
    <w:basedOn w:val="Standardskriftforavsnitt"/>
    <w:link w:val="Footer"/>
    <w:uiPriority w:val="99"/>
    <w:rPr>
      <w:rFonts w:ascii="Calibri" w:hAnsi="Calibri"/>
      <w:sz w:val="22"/>
      <w:lang w:eastAsia="en-US"/>
    </w:rPr>
  </w:style>
  <w:style w:type="paragraph" w:styleId="Default" w:customStyle="1">
    <w:name w:val="Default"/>
    <w:pPr>
      <w:autoSpaceDE w:val="false"/>
      <w:autoSpaceDN w:val="false"/>
      <w:adjustRightInd w:val="false"/>
      <w:spacing w:after="100" w:afterAutospacing="1"/>
    </w:pPr>
    <w:rPr>
      <w:rFonts w:ascii="TheSansOffice" w:hAnsi="TheSansOffice" w:eastAsia="Calibri" w:cs="TheSansOffice"/>
      <w:color w:val="000000"/>
      <w:sz w:val="24"/>
      <w:szCs w:val="24"/>
      <w:lang w:eastAsia="en-US"/>
    </w:rPr>
  </w:style>
  <w:style w:type="paragraph" w:styleId="Listeavsnitt">
    <w:name w:val="List Paragraph"/>
    <w:basedOn w:val="Normal"/>
    <w:uiPriority w:val="34"/>
    <w:qFormat/>
    <w:pPr>
      <w:spacing/>
      <w:ind w:left="720"/>
      <w:contextualSpacing/>
    </w:pPr>
    <w:rPr>
      <w:rFonts w:eastAsia="Calibri"/>
      <w:szCs w:val="22"/>
      <w:lang w:eastAsia="nb-NO"/>
    </w:rPr>
  </w:style>
  <w:style w:type="paragraph" w:styleId="StilBrdtekstTheSansOffice4pktFetVenstre" w:customStyle="1">
    <w:name w:val="Stil Brødtekst + TheSansOffice 4 pkt Fet Venstre"/>
    <w:basedOn w:val="Brdtekst"/>
    <w:pPr>
      <w:spacing/>
      <w:jc w:val="left"/>
    </w:pPr>
    <w:rPr>
      <w:rFonts w:ascii="Calibri" w:hAnsi="Calibri" w:cs="Times New Roman"/>
      <w:b/>
      <w:bCs/>
      <w:sz w:val="8"/>
    </w:rPr>
  </w:style>
  <w:style w:type="character" w:styleId="Overskrift1Tegn" w:customStyle="1">
    <w:name w:val="Overskrift 1 Tegn"/>
    <w:basedOn w:val="Standardskriftforavsnitt"/>
    <w:link w:val="Heading1"/>
    <w:uiPriority w:val="9"/>
    <w:rPr>
      <w:rFonts w:ascii="Calibri" w:hAnsi="Calibri" w:eastAsia="Calibri" w:cs="TheSansOffice"/>
      <w:b/>
      <w:color w:val="000000"/>
      <w:sz w:val="28"/>
      <w:szCs w:val="24"/>
      <w:lang w:eastAsia="en-US"/>
    </w:rPr>
  </w:style>
  <w:style w:type="paragraph" w:styleId="StilDefaultLatinCalibriFetAutomatiskFr5pkt" w:customStyle="1">
    <w:name w:val="Stil Default + (Latin) Calibri Fet Automatisk Før:  5 pkt"/>
    <w:basedOn w:val="Default"/>
    <w:pPr>
      <w:spacing w:before="100" w:after="0" w:afterAutospacing="0"/>
    </w:pPr>
    <w:rPr>
      <w:rFonts w:ascii="Calibri" w:hAnsi="Calibri" w:eastAsia="Times New Roman" w:cs="Times New Roman"/>
      <w:b/>
      <w:bCs/>
      <w:color w:val="auto"/>
      <w:szCs w:val="20"/>
    </w:rPr>
  </w:style>
  <w:style w:type="paragraph" w:styleId="Avsnitt1" w:customStyle="1">
    <w:name w:val="Avsnitt1"/>
    <w:basedOn w:val="Default"/>
    <w:pPr>
      <w:spacing w:after="120" w:afterAutospacing="0"/>
      <w:ind w:left="709"/>
    </w:pPr>
    <w:rPr>
      <w:rFonts w:ascii="Calibri" w:hAnsi="Calibri"/>
      <w:sz w:val="22"/>
    </w:rPr>
  </w:style>
  <w:style w:type="paragraph" w:styleId="Kulepunkt1" w:customStyle="1">
    <w:name w:val="Kulepunkt1"/>
    <w:basedOn w:val="Normal"/>
    <w:qFormat/>
    <w:numPr>
      <w:numId w:val="2"/>
    </w:numPr>
    <w:pPr>
      <w:numPr>
        <w:numId w:val="2"/>
      </w:numPr>
      <w:spacing/>
      <w:ind w:left="1134"/>
    </w:pPr>
    <w:rPr/>
  </w:style>
  <w:style w:type="paragraph" w:styleId="StilTopptekstFetFr5pktEtter5pkt" w:customStyle="1">
    <w:name w:val="Stil Topptekst + Fet Før:  5 pkt Etter:  5 pkt"/>
    <w:basedOn w:val="Topptekst"/>
    <w:pPr>
      <w:spacing w:before="100" w:after="100"/>
    </w:pPr>
    <w:rPr>
      <w:b/>
      <w:bCs/>
      <w:sz w:val="24"/>
    </w:rPr>
  </w:style>
  <w:style w:type="paragraph" w:styleId="Avsnitt10" w:customStyle="1">
    <w:name w:val="Avsnitt 1"/>
    <w:basedOn w:val="Normal"/>
    <w:pPr>
      <w:spacing/>
      <w:ind w:left="284"/>
    </w:pPr>
    <w:rPr>
      <w:rFonts w:eastAsia="Calibri"/>
      <w:szCs w:val="22"/>
      <w:lang w:eastAsia="nb-NO"/>
    </w:rPr>
  </w:style>
  <w:style w:type="paragraph" w:styleId="Normal_80ceee3d-2aaa-43ca-8202-10dcc6858df2" w:customStyle="1">
    <w:name w:val="Normal_80ceee3d-2aaa-43ca-8202-10dcc6858df2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" w:customStyle="1">
    <w:name w:val="TQM_DocxPublishingHeaderDocumentInfoStyleName"/>
    <w:basedOn w:val="Normal_80ceee3d-2aaa-43ca-8202-10dcc6858df2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5395a829-00dd-4ac6-b1db-ce1b2aab7f2e" w:customStyle="1">
    <w:name w:val="Normal Table_5395a829-00dd-4ac6-b1db-ce1b2aab7f2e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a2ba5c01-0b9a-450e-ac55-665daee68079" w:customStyle="1">
    <w:name w:val="Table Grid_a2ba5c01-0b9a-450e-ac55-665daee68079"/>
    <w:basedOn w:val="NormalTable_5395a829-00dd-4ac6-b1db-ce1b2aab7f2e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" w:customStyle="1">
    <w:name w:val="TQM_DocxPublishingHeaderDocumentIDStyleName"/>
    <w:basedOn w:val="Normal_80ceee3d-2aaa-43ca-8202-10dcc6858df2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" w:customStyle="1">
    <w:name w:val="TQM_DocxPublishingHeaderDocumentNameStyleName"/>
    <w:basedOn w:val="Normal_80ceee3d-2aaa-43ca-8202-10dcc6858df2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007428c1-5d44-493e-b753-620482716b2b" w:customStyle="1">
    <w:name w:val="Normal Table_007428c1-5d44-493e-b753-620482716b2b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0e1e6be-f058-4865-8be7-ef4d5ff16a45" w:customStyle="1">
    <w:name w:val="Table Grid_10e1e6be-f058-4865-8be7-ef4d5ff16a45"/>
    <w:basedOn w:val="NormalTable_007428c1-5d44-493e-b753-620482716b2b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fcf9b41a-eb66-4bda-bb3f-109c3f543207" w:customStyle="1">
    <w:name w:val="Normal Table_fcf9b41a-eb66-4bda-bb3f-109c3f543207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cdbd36e7-0660-4783-8326-f68c548b1d6f" w:customStyle="1">
    <w:name w:val="Table Grid_cdbd36e7-0660-4783-8326-f68c548b1d6f"/>
    <w:basedOn w:val="NormalTable_fcf9b41a-eb66-4bda-bb3f-109c3f543207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64e84a9a-1268-4404-a44d-0765e2a9f3e3" w:customStyle="1">
    <w:name w:val="Normal Table_64e84a9a-1268-4404-a44d-0765e2a9f3e3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078c519b-31f1-43fa-8ca9-02649082a516" w:customStyle="1">
    <w:name w:val="Table Grid_078c519b-31f1-43fa-8ca9-02649082a516"/>
    <w:basedOn w:val="NormalTable_64e84a9a-1268-4404-a44d-0765e2a9f3e3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2dda2b9b-57a7-48dc-aaf6-ef67b09713e6" w:customStyle="1">
    <w:name w:val="Normal Table_2dda2b9b-57a7-48dc-aaf6-ef67b09713e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800087ca-caed-47c6-a226-e778d1542727" w:customStyle="1">
    <w:name w:val="Table Grid_800087ca-caed-47c6-a226-e778d1542727"/>
    <w:basedOn w:val="NormalTable_2dda2b9b-57a7-48dc-aaf6-ef67b09713e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afbf774f-1f2a-494d-8d9b-8a44869e1c8a" w:customStyle="1">
    <w:name w:val="Normal Table_afbf774f-1f2a-494d-8d9b-8a44869e1c8a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c32e8b02-070d-43d0-8fa1-31c68f944a9f" w:customStyle="1">
    <w:name w:val="Table Grid_c32e8b02-070d-43d0-8fa1-31c68f944a9f"/>
    <w:basedOn w:val="NormalTable_afbf774f-1f2a-494d-8d9b-8a44869e1c8a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1bb19f6c-7837-49ca-b887-d74b296a2f3e" w:customStyle="1">
    <w:name w:val="Normal Table_1bb19f6c-7837-49ca-b887-d74b296a2f3e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995082e-d578-4540-9715-cdcfa113f041" w:customStyle="1">
    <w:name w:val="Table Grid_9995082e-d578-4540-9715-cdcfa113f041"/>
    <w:basedOn w:val="NormalTable_1bb19f6c-7837-49ca-b887-d74b296a2f3e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5115e469-38bf-4836-adb4-0bdcc81078eb" w:customStyle="1">
    <w:name w:val="Normal Table_5115e469-38bf-4836-adb4-0bdcc81078eb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de6b54f1-3155-4397-9f6f-84e573ab7b1a" w:customStyle="1">
    <w:name w:val="Table Grid_de6b54f1-3155-4397-9f6f-84e573ab7b1a"/>
    <w:basedOn w:val="NormalTable_5115e469-38bf-4836-adb4-0bdcc81078eb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7b2e4337-a090-4436-a31c-05e93cdcd7b7" w:customStyle="1">
    <w:name w:val="Normal Table_7b2e4337-a090-4436-a31c-05e93cdcd7b7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2d0a9d43-2256-4ed3-8f36-9126ac94a01d" w:customStyle="1">
    <w:name w:val="Table Grid_2d0a9d43-2256-4ed3-8f36-9126ac94a01d"/>
    <w:basedOn w:val="NormalTable_7b2e4337-a090-4436-a31c-05e93cdcd7b7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8a0dc0af-35f0-402f-a7a9-203235500025" w:customStyle="1">
    <w:name w:val="Normal Table_8a0dc0af-35f0-402f-a7a9-203235500025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0580991e-e36f-43a8-a492-c11644dcad8d" w:customStyle="1">
    <w:name w:val="Table Grid_0580991e-e36f-43a8-a492-c11644dcad8d"/>
    <w:basedOn w:val="NormalTable_8a0dc0af-35f0-402f-a7a9-203235500025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8" Type="http://schemas.openxmlformats.org/officeDocument/2006/relationships/fontTable" Target="fontTable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lise.marcussen/OneDrive%20-%20Undervisningsbygg%20Oslo%20KF/OBF%20Styringssystem/SHA/Arb.filer/654-2-2.1%20Kontrakt%20for%20hovedbedrift%20(HB)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654-2-2.1 Kontrakt for hovedbedrift (HB)</Template>
  <TotalTime>2</TotalTime>
  <Pages>1</Pages>
  <Words>883</Words>
  <Characters>4683</Characters>
  <Application>Microsoft Office Word</Application>
  <DocSecurity>0</DocSecurity>
  <Lines>39</Lines>
  <Paragraphs>11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Marcussen</dc:creator>
  <cp:keywords/>
  <dc:description/>
  <cp:lastModifiedBy>Bård Sigmund Dybsjord</cp:lastModifiedBy>
  <cp:lastPrinted>2016-04-18T05:31:00Z</cp:lastPrinted>
  <cp:revision>4</cp:revision>
  <dcterms:created xsi:type="dcterms:W3CDTF">2021-08-25T11:28:00Z</dcterms:created>
  <dcterms:modified xsi:type="dcterms:W3CDTF">2023-01-12T11:46:00Z</dcterms:modified>
  <cp:category/>
  <cp:contentStatus>Godkjent</cp:contentStatus>
</cp:coreProperties>
</file>