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55983af-6cc2-4c26-b4fd-3668deda8a7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19:52:31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af46654-f90c-4c12-bf8b-0f7ad72fd9f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aa7f9a39-36b3-4c10-a90f-b853875d835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a7f9a39-36b3-4c10-a90f-b853875d835c"/>
      <w:pBdr/>
      <w:spacing w:before="20" w:after="20" w:line="20" w:lineRule="exact"/>
      <w:rPr/>
    </w:pPr>
  </w:p>
  <w:tbl>
    <w:tblPr>
      <w:tblStyle w:val="TableGrid_8b26c047-3722-4441-9c97-6e2df3048c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9151426-68ef-4dc5-b7ba-0a77a6cfce9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aa7f9a39-36b3-4c10-a90f-b853875d835c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93b04f4-56e8-47c8-96fb-16394063c7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a7f9a39-36b3-4c10-a90f-b853875d835c"/>
            <w:pBdr/>
            <w:spacing/>
            <w:rPr/>
          </w:pPr>
        </w:p>
      </w:tc>
    </w:tr>
  </w:tbl>
  <w:p>
    <w:pPr>
      <w:pStyle w:val="Normal_aa7f9a39-36b3-4c10-a90f-b853875d835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aa7f9a39-36b3-4c10-a90f-b853875d835c" w:customStyle="1">
    <w:name w:val="Normal_aa7f9a39-36b3-4c10-a90f-b853875d835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a7f9a39-36b3-4c10-a90f-b853875d835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4f34f86-f974-490f-9172-4e2bb11ff055" w:customStyle="1">
    <w:name w:val="Normal Table_a4f34f86-f974-490f-9172-4e2bb11ff0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9223bc-3da9-49a5-8360-0d7985898c2e" w:customStyle="1">
    <w:name w:val="Table Grid_769223bc-3da9-49a5-8360-0d7985898c2e"/>
    <w:basedOn w:val="NormalTable_a4f34f86-f974-490f-9172-4e2bb11ff0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a7f9a39-36b3-4c10-a90f-b853875d835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a7f9a39-36b3-4c10-a90f-b853875d835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8ef1516-6402-4ec3-b3ca-329a11ba9056" w:customStyle="1">
    <w:name w:val="Normal Table_58ef1516-6402-4ec3-b3ca-329a11ba90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7bb63e-eb39-4179-a294-8243c108f487" w:customStyle="1">
    <w:name w:val="Table Grid_707bb63e-eb39-4179-a294-8243c108f487"/>
    <w:basedOn w:val="NormalTable_58ef1516-6402-4ec3-b3ca-329a11ba90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05bc08-dbcf-4566-9d10-8f711f629aa9" w:customStyle="1">
    <w:name w:val="Normal Table_4a05bc08-dbcf-4566-9d10-8f711f629a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571471-28ba-4796-a261-fd7b34d63b1f" w:customStyle="1">
    <w:name w:val="Table Grid_b4571471-28ba-4796-a261-fd7b34d63b1f"/>
    <w:basedOn w:val="NormalTable_4a05bc08-dbcf-4566-9d10-8f711f629a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f08aa7-6c08-4d49-abb8-24e030a21289" w:customStyle="1">
    <w:name w:val="Normal Table_c5f08aa7-6c08-4d49-abb8-24e030a212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64b3fa-5445-44af-b428-3ab18696d561" w:customStyle="1">
    <w:name w:val="Table Grid_ac64b3fa-5445-44af-b428-3ab18696d561"/>
    <w:basedOn w:val="NormalTable_c5f08aa7-6c08-4d49-abb8-24e030a212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7b9773-aa32-462c-8e44-f3f74f8cb0a4" w:customStyle="1">
    <w:name w:val="Normal Table_1a7b9773-aa32-462c-8e44-f3f74f8cb0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cd08cc-e84c-429e-b2d1-af977f1a3013" w:customStyle="1">
    <w:name w:val="Table Grid_6bcd08cc-e84c-429e-b2d1-af977f1a3013"/>
    <w:basedOn w:val="NormalTable_1a7b9773-aa32-462c-8e44-f3f74f8cb0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63d492-4498-4bfe-810d-90fe77f07aa3" w:customStyle="1">
    <w:name w:val="Normal Table_9f63d492-4498-4bfe-810d-90fe77f07a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5983af-6cc2-4c26-b4fd-3668deda8a7e" w:customStyle="1">
    <w:name w:val="Table Grid_355983af-6cc2-4c26-b4fd-3668deda8a7e"/>
    <w:basedOn w:val="NormalTable_9f63d492-4498-4bfe-810d-90fe77f07a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b2f629-5bc4-4417-b944-4f95f9830f8e" w:customStyle="1">
    <w:name w:val="Normal Table_60b2f629-5bc4-4417-b944-4f95f9830f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f46654-f90c-4c12-bf8b-0f7ad72fd9f3" w:customStyle="1">
    <w:name w:val="Table Grid_faf46654-f90c-4c12-bf8b-0f7ad72fd9f3"/>
    <w:basedOn w:val="NormalTable_60b2f629-5bc4-4417-b944-4f95f9830f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e90495-6060-444f-b0e7-a5148425015c" w:customStyle="1">
    <w:name w:val="Normal Table_c1e90495-6060-444f-b0e7-a514842501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151426-68ef-4dc5-b7ba-0a77a6cfce9b" w:customStyle="1">
    <w:name w:val="Table Grid_09151426-68ef-4dc5-b7ba-0a77a6cfce9b"/>
    <w:basedOn w:val="NormalTable_c1e90495-6060-444f-b0e7-a514842501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322985-61d8-41b8-999e-fdf3c70e7a6f" w:customStyle="1">
    <w:name w:val="Normal Table_b1322985-61d8-41b8-999e-fdf3c70e7a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3b04f4-56e8-47c8-96fb-16394063c7af" w:customStyle="1">
    <w:name w:val="Table Grid_093b04f4-56e8-47c8-96fb-16394063c7af"/>
    <w:basedOn w:val="NormalTable_b1322985-61d8-41b8-999e-fdf3c70e7a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faa504-b0aa-4ebb-94ac-d02afc919a2b" w:customStyle="1">
    <w:name w:val="Normal Table_9cfaa504-b0aa-4ebb-94ac-d02afc919a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26c047-3722-4441-9c97-6e2df3048c87" w:customStyle="1">
    <w:name w:val="Table Grid_8b26c047-3722-4441-9c97-6e2df3048c87"/>
    <w:basedOn w:val="NormalTable_9cfaa504-b0aa-4ebb-94ac-d02afc919a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